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5A_17/2020 vom 20. Mai 2020</w:t>
      </w:r>
    </w:p>
    <w:p>
      <w:r>
        <w:t>Bundesgericht, 2020-05-20, FR</w:t>
      </w:r>
    </w:p>
    <w:p>
      <w:r>
        <w:rPr>
          <w:b/>
        </w:rPr>
        <w:t xml:space="preserve">Quelle: </w:t>
      </w:r>
      <w:r>
        <w:t>https://mcp.opencaselaw.ch/entscheid/bger_5A_17_2020</w:t>
      </w:r>
    </w:p>
    <w:p>
      <w:r>
        <w:t>FR: TF 5A_17/2020 du 20 mai 2020</w:t>
      </w:r>
    </w:p>
    <w:p>
      <w:r>
        <w:t>IT: TF 5A_17/2020 del 20 maggio 2020</w:t>
      </w:r>
    </w:p>
    <w:p>
      <w:pPr>
        <w:pStyle w:val="Heading2"/>
      </w:pPr>
      <w:r>
        <w:t>Erwägungen</w:t>
      </w:r>
    </w:p>
    <w:p>
      <w:r>
        <w:rPr>
          <w:b/>
        </w:rPr>
        <w:t>E. 1</w:t>
      </w:r>
    </w:p>
    <w:p>
      <w:r>
        <w:t>Dirigé contre une décision rendue en matière de poursuite pour dettes et de faillite ( art. 72 al. 2 let. a LTF ) par une autorité cantonale de surveillance de dernière (unique) instance ( art. 75 al. 1 LTF ), le recours est recevable indépendamment de la valeur litigieuse ( art. 74 al. 2 let . c LTF). Il a en outre été déposé dans le délai ( art. 100 al. 2 let. a LTF ) et la forme ( art. 42 al. 1 LTF ) prévus par la loi. Dès lors qu'elle fait en l'espèce valoir des intérêts de la masse, l'administration de la faillite a qualité pour recourir ( art. 76 al. 1 LTF ; cf. ATF 144 III 247 consid. 2.2; 134 III 136 consid. 1.3 et les références; arrêt 5A_794/2019 du 20 décembre 2019 consid. 1.2 et l'autre référence). Le recours en matière civile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143 V 19 consid. 2.3).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142 III 364 consid. 2.4, 402 consid. 2.6 et la référence; 140 III 86 consid. 2 et les références).</w:t>
      </w:r>
    </w:p>
    <w:p>
      <w:r>
        <w:t>Par exception à la règle selon laquelle il applique le droit d'office,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144 II 313 consid. 5.1; 142 II 369 consid. 2.1; 142 III 364 consid. 2.4). Les critiques de nature appellatoire sont irrecevables ( ATF 142 III 364 consid. 2.4 et la référence).</w:t>
      </w:r>
    </w:p>
    <w:p>
      <w:r>
        <w:rPr>
          <w:b/>
        </w:rPr>
        <w:t>E. 2.2</w:t>
      </w:r>
    </w:p>
    <w:p>
      <w:r>
        <w:t>Le Tribunal fédéral doit conduire son raisonnement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144 II 246 consid. 6.7; 143 I 310 consid. 2.2 et la référence),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145 IV 154 consid. 1.1).</w:t>
      </w:r>
    </w:p>
    <w:p>
      <w:r>
        <w:t>En l'occurrence, la partie intitulée " Bref rappel des éléments principaux " de l'acte de recours (p. 3-8) sera ignorée en tant que les faits qui y sont exposés s'écartent de ceux contenus dans l'arrêt attaqué et que la recourante n'invoque, ni a fortiori ne démontre, leur établissement arbitraire et que leur correction influerait sur le sort de la cause. Il sera en revanche tenu compte des faits procéduraux qui ressortent directement du dossier et qui sont allégués par la recourante en lien avec son grief de violation du droit d'être entendu (cf.</w:t>
      </w:r>
    </w:p>
    <w:p>
      <w:r>
        <w:t>infra consid. 3).</w:t>
      </w:r>
    </w:p>
    <w:p>
      <w:r>
        <w:rPr>
          <w:b/>
        </w:rPr>
        <w:t>E. 3</w:t>
      </w:r>
    </w:p>
    <w:p>
      <w:r>
        <w:t>La recourante se plaint d'une violation de son droit d'être entendue ( art. 29 al. 2 Cst. ), sous deux aspects.</w:t>
      </w:r>
    </w:p>
    <w:p>
      <w:r>
        <w:rPr>
          <w:b/>
        </w:rPr>
        <w:t>E. 3.1</w:t>
      </w:r>
    </w:p>
    <w:p>
      <w:r>
        <w:t>Elle fait premièrement grief à la Chambre des poursuites et faillites de ne pas avoir traité la question de la nullité de la plainte qu'elle avait soulevée en lien avec le défaut de récusation de C.________, syndic de la Commune de B.________ et signataire de la plainte. A l'évidence, la question de savoir si la personne qui formule une plainte selon l' art. 17 LP est bien légitimée à le faire est pertinente et devait être traitée par l'autorité cantonale. Or, hormis le rappel lapidaire de son chef de conclusions principal tendant à la nullité de la plainte, sans évocation de la raison de fond sous-tendant ce chef de conclusions, la décision querellée était muette quant au problème soulevé en lien avec l'absence de récusation de C.________ et ses conséquences sur la validité de la plainte.</w:t>
      </w:r>
    </w:p>
    <w:p>
      <w:r>
        <w:t>Deuxièmement, la recourante fait valoir que la Chambre des poursuites et faillites a violé son droit d'être entendue en ne respectant pas le droit inconditionnel à la réplique. En effet, après avoir transmis pour information les " contre-observations " [i.e. réplique] spontanées de la plaignante du 13 décembre 2019, elle avait rendu son arrêt le 20 décembre 2019 sans attendre l'écoulement du délai inconditionnel de réplique tiré de la jurisprudence.</w:t>
      </w:r>
    </w:p>
    <w:p>
      <w:r>
        <w:rPr>
          <w:b/>
        </w:rPr>
        <w:t>E. 3.2.1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arrêt 5A_915/2019 du 18 mars 2020 consid. 4.2).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 ATF 141 V 557 consid. 3.2.1; arrêt 1B_539/2019 du 19 mars 2020 consid. 3.1). L'autorité ne doit toutefois pas se prononcer sur tous les moyens des parties; elle peut se limiter aux questions décisives ( ATF 142 II 154 consid. 4.2; 141 V 557 consid. 3.2.1; 137 II 266 consid. 3.2; 136 I 229 consid. 5.2).</w:t>
      </w:r>
    </w:p>
    <w:p>
      <w:r>
        <w:rPr>
          <w:b/>
        </w:rPr>
        <w:t>E. 3.2.2</w:t>
      </w:r>
    </w:p>
    <w:p>
      <w:r>
        <w:t>Compris comme l'un des aspects de la notion générale de procès équitable, le droit d'être entendu ( art. 29 al. 2 Cst. )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142 III 48 consid. 4.1.1;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 1B_214/2019 du 25 juin 2019 consid. 2.1 et les références).</w:t>
      </w:r>
    </w:p>
    <w:p>
      <w:r>
        <w:rPr>
          <w:b/>
        </w:rPr>
        <w:t>E. 3.3</w:t>
      </w:r>
    </w:p>
    <w:p>
      <w:r>
        <w:t>En l'espèce, dans ses observations du 6 décembre 2019 présentées devant l'instance précédente, la recourante a soulevé un grief de nullité de la plainte du 4 novembre 2019 au motif qu'elle avait été signée par le syndic C.________, qui devait se récuser. La recourante terminait son argumentation de la manière suivante: " La nullité peut être invoquée et constatée en tout temps. L'Autorité de céans est donc respectueusement requise formellement de se déterminer à son sujet de manière préalable et de constater d'emblée la nullité de la plainte de la Commune de B.________ du 4 novembre 2019 pour défaut de récusation de C.________. "</w:t>
      </w:r>
    </w:p>
    <w:p>
      <w:r>
        <w:t>Or force est de constater que l'arrêt attaqué est totalement muet sur cette question, dont la pertinence ne saurait être contestée. La seule référence à la conclusion de la recourante tendant à la nullité de la plainte dans la partie en fait de la décision entreprise ne peut suffire à écarter une violation du droit d'être entendu, respectivement un déni de justice formel, ou constituer une motivation suffisante. L'arrêt querellé ne traitant pas du tout de la question de la nullité de la plainte en raison de l'absence de récusation du syndic C.________, la recourante ne pouvait pas l'attaquer en connaissance de cause. Le recours est ainsi bien fondé sur ce point.</w:t>
      </w:r>
    </w:p>
    <w:p>
      <w:r>
        <w:t>Il ressort en outre du dossier cantonal que l'instance précédente a, en date du 16 décembre 2019, adressé à Me Ecoffey et à l'Office cantonal des faillites une copie de la réplique spontanée (" contre-observations ") de la plaignante du 13 décembre 2019 et qu'elle a statué sur la plainte le 20 décembre suivant. Les juges cantonaux ont ainsi statué sans que la recourante ait eu l'opportunité d'exercer son droit à la réplique. Elle est donc fondée à se plaindre d'une violation de son droit d'être entendue sous cet aspect également.</w:t>
      </w:r>
    </w:p>
    <w:p>
      <w:r>
        <w:t>Les violations ainsi constatées du droit d'être entendu ne peuvent pas être réparées devant le Tribunal fédéral (cf. ATF 137 I 195 consid. 2.7). L'admission du grief, de par sa nature formelle, le dispense par ailleurs de l'examen des autres griefs (de fond) de la recourante (cf. ATF 138 I 232 consid. 5.1).</w:t>
      </w:r>
    </w:p>
    <w:p>
      <w:r>
        <w:rPr>
          <w:b/>
        </w:rPr>
        <w:t>E. 4</w:t>
      </w:r>
    </w:p>
    <w:p>
      <w:r>
        <w:t>Les considérants qui précédent conduisent à l'admission du recours, à l'annulation de l'arrêt attaqué et au renvoi de la cause à la Chambre des poursuites et faillites pour qu'elle statue à nouveau en se prononçant sur l'argumentation de la recourante portant sur la nullité de la plainte, après lui avoir permis d'exercer son droit à la réplique. L'intérêt patrimonial de la commune étant ici en cause, l' art. 66 al. 4 LTF n'est pas applicable et les frais de la procédure doivent être mis à la charge de l'intimée qui succombe ( art. 66 al. 1 LTF ). Celle-ci devra également verser une indemnité de dépens à la recourante, qui est représentée par un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