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5A_178/2011 vom 21. April 2011</w:t>
      </w:r>
    </w:p>
    <w:p>
      <w:r>
        <w:t>Bundesgericht, 2011-04-21, DE</w:t>
      </w:r>
    </w:p>
    <w:p>
      <w:r>
        <w:rPr>
          <w:b/>
        </w:rPr>
        <w:t xml:space="preserve">Quelle: </w:t>
      </w:r>
      <w:r>
        <w:t>https://mcp.opencaselaw.ch/entscheid/bger_5A_178_2011</w:t>
      </w:r>
    </w:p>
    <w:p>
      <w:r>
        <w:t>FR: TF 5A_178/2011 du 21 avril 2011</w:t>
      </w:r>
    </w:p>
    <w:p>
      <w:r>
        <w:t>IT: TF 5A_178/2011 del 21 aprile 2011</w:t>
      </w:r>
    </w:p>
    <w:p>
      <w:pPr>
        <w:pStyle w:val="Heading2"/>
      </w:pPr>
      <w:r>
        <w:t>Erwägungen</w:t>
      </w:r>
    </w:p>
    <w:p>
      <w:r>
        <w:rPr>
          <w:b/>
        </w:rPr>
        <w:t>E. 1</w:t>
      </w:r>
    </w:p>
    <w:p>
      <w:r>
        <w:t>Die vorliegende Wegrechtsstreitigkeit betrifft eine Zivilsache ( Art. 72 Abs. 1 BGG ) in einer vermögensrechtlichen Angelegenheit, deren Streitwert gemäss den kantonsgerichtlichen Feststellungen deutlich mehr als Fr. 30'000.-- beträgt (E. 5 S. 6) und damit den gesetzlichen Mindestbetrag übersteigt ( Art. 74 Abs. 1 lit. b BGG ). Entschieden hat das Kantonsgericht als letzte kantonale Instanz und oberes Gericht ( Art. 75 BGG ) durch Urteil, das das Verfahren abschliesst ( Art. 90 BGG ). Auf die Beschwerde in Zivilsachen kann eingetreten werden. Formelle Einzelfragen sind im Sachzusammenhang zu erörtern.</w:t>
      </w:r>
    </w:p>
    <w:p>
      <w:r>
        <w:rPr>
          <w:b/>
        </w:rPr>
        <w:t>E. 2</w:t>
      </w:r>
    </w:p>
    <w:p>
      <w:r>
        <w:t>Im Abschnitt über die Grunddienstbarkeiten regeln die Art. 742 ff. ZGB die "Veränderungen der Belastung", und zwar die "Verlegung" ( Art. 742 ZGB ) und die "Teilung" (Art. 743 f. ZGB). Die Verlegung der Grunddienstbarkeit (so das Kantonsgericht) meint gemäss dem genaueren französischen Gesetzestext die Verlegung der Fläche, auf der die Grunddienstbarkeit ausgeübt wird ("Changement dans l'assiette de la servitude"). Auf diese Verlegung gibt Art. 742 Abs. 1 ZGB dem Eigentümer des belasteten Grundstücks einen Anspruch, wenn (1.) durch die Ausübung der Grunddienstbarkeit nur ein Teil des Grundstücks in Anspruch genommen wird, wenn (2.) der belastete Eigentümer ein Interesse an der Verlegung nachweist, wenn (3.) der belastete Eigentümer die Kosten der Verlegung übernimmt und wenn (4.) die Ausübung der Grunddienstbarkeit an eine Stelle verlegt wird, die für den Berechtigten nicht weniger geeignet ist. Von diesen vier Voraussetzungen ist nur mehr streitig, ob die Beschwerdegegner ein Interesse an der Verlegung haben nachweisen können.</w:t>
      </w:r>
    </w:p>
    <w:p>
      <w:r>
        <w:rPr>
          <w:b/>
        </w:rPr>
        <w:t>E. 3</w:t>
      </w:r>
    </w:p>
    <w:p>
      <w:r>
        <w:t>Das Bezirksgericht hat das Interesse der Beschwerdegegner an der Verlegung des Wegrechts zum einen mit der Begründung bejaht, dass die Bewirtschaftung der grösstenteils in der Landwirtschaftszone gelegenen Parzelle Nr. bbbb einfacher werde, weil durch die Verlegung eine zusammenhängende, nicht mehr durch die Strasse getrennte Fläche entstehe. Zum anderen ist das Bezirksgericht davon ausgegangen, dass durch die Verlegung des Wegrechts in den Teil der Parzelle Nr. bbbb, der in der Bauzone liege, das Grundstück Nr. cccc als erschlossen gelte, überbaut werden könne und dadurch einen bedeutenden Mehrwert erfahre. Nicht nur der Beschwerdegegner 4, der die Parzelle Nr. cccc von seinem Vater geschenkt erhalten habe, sondern auch die Beschwerdegegner 1-3, die im Rahmen der noch anstehenden Teilung des väterlichen Nachlasses von der Wertsteigerung der Parzelle Nr. cccc profitieren würden, hätten deshalb ein gewichtiges Interesse an der Verlegung der Strasse (E. 8a S. 6 f. des bezirksgerichtlichen Urteils). Das Kantonsgericht hat dafürgehalten, die Vorinstanz habe ein Interesse der dienstbarkeitsbelasteten Eigentümerschaft zu Recht in der ökonomischeren Nutzung des Bodens sowie in der Erschliessung eines teilweise ebenfalls den Beschwerdegegnern gehörenden Nachbargrundstücks erkannt (E. 4b S. 4 des angefochtenen Urteils).</w:t>
      </w:r>
    </w:p>
    <w:p>
      <w:r>
        <w:rPr>
          <w:b/>
        </w:rPr>
        <w:t>E. 4</w:t>
      </w:r>
    </w:p>
    <w:p>
      <w:r>
        <w:t>Der Beschwerdeführer räumt ein, dass die Beschwerdegegner Erschliessungs- und Geldinteressen an der Verlegung des Wegrechts haben, rügt diese Interessen aber als ungenügend, da sie sich nicht auf die belastete Parzelle beziehen würden, sondern auf ein Nachbargrundstück, das überdies dem Beschwerdegegner 4 und nicht allen Beschwerdegegnern gemeinsam gehöre. Der Beschwerdeführer macht weiter geltend, die Möglichkeit der Bewirtschaftung sei seit Begründung des Wegrechts vor 40 Jahren auf der Parzelle Nr. bbbb unverändert geblieben. Die Beschwerdegegner verhielten sich insgesamt rechtsmissbräuchlich (S. 4 ff. der Beschwerdeschrift).</w:t>
      </w:r>
    </w:p>
    <w:p>
      <w:r>
        <w:rPr>
          <w:b/>
        </w:rPr>
        <w:t>E. 4.1</w:t>
      </w:r>
    </w:p>
    <w:p>
      <w:r>
        <w:t>Im Unterschied zu anderen Rechtsordnungen setzt der Verlegungsanspruch gemäss Art. 742 ZGB nicht voraus, dass die Ausübung der Dienstbarkeit am bisherigen Ort zu einer Erschwerung der Belastung geführt hat oder den Eigentümer an der Ausführung von Verbesserungen an seinem Grundstück hindert. Es genügt vielmehr, dass der Belastete ein Interesse an der Verlegung dartut. In der Regel wird es sich um wirtschaftliche Interessen handeln, doch vermag auch ein ästhetisches oder anderes immaterielles Interesse, solange es schutzwürdig ist, die Verlegung der Dienstbarkeit zu rechtfertigen (vgl. BGE 57 II 155 E. 1a S. 157; LEEMANN, Berner Kommentar, 1925, N. 4, und LIVER, Zürcher Kommentar, 1980, N. 30 f., je zu Art. 742 ZGB ; seither bestätigt im Urteil 5C.61/1999 vom 19. April 1999 E. 4b; STEINAUER, Les droits réels, t. II, 3. Aufl. 2002, N. 2309b S. 402).</w:t>
      </w:r>
    </w:p>
    <w:p>
      <w:r>
        <w:rPr>
          <w:b/>
        </w:rPr>
        <w:t>E. 4.2</w:t>
      </w:r>
    </w:p>
    <w:p>
      <w:r>
        <w:t>Entgegen der Darstellung des Beschwerdeführers ist das Kantonsgericht somit von einem zutreffenden Begriff des Interesses im Sinne von Art. 742 ZGB ausgegangen. Das Interesse kann sich auf die belastete Parzelle beziehen, doch ist eine derartige Objektbezogenheit gerade nicht vorausgesetzt. Es genügt irgendein schutzwürdiges, namentlich auch ein wirtschaftliches Interesse des belasteten Eigentümers an der Verlegung der Dienstbarkeit. Die Annahme, alle Beschwerdegegner hätten im Hinblick auf die künftige Erbteilung ein geldwertes Interesse daran, das Grundstück Nr. cccc durch die Verlegung des Wegrechts zu erschliessen und dadurch wiederum in seinem Wert zu steigern, erweist sich deshalb nicht als bundesrechtswidrig. Dieses Interesse genügt und ist unstreitig nach der Begründung der Dienstbarkeit im Jahre 1971 entstanden, zumal die Bauzonengrenze erst im Jahre 1997 beschlossen wurde (vgl. Urteil 1A.139/1998 vom 8. April 1999 i.S. Beschwerdeführer c/ E.________ und Beschwerdegegner 4 betreffend Zonengrenzkorrektur). Verteidigen die Beschwerdegegner mit der Geltendmachung des Verlegungsanspruchs geldwerte Interessen, die durch Art. 742 Abs. 1 ZGB geschützt werden sollen, kann ihnen auch kein rechtsmissbräuchliches Verhalten vorgeworfen werden (vgl. BGE 123 III 200 E. 2b/aa S. 203; 136 III 528 E. 3.3 S. 531).</w:t>
      </w:r>
    </w:p>
    <w:p>
      <w:r>
        <w:rPr>
          <w:b/>
        </w:rPr>
        <w:t>E. 4.3</w:t>
      </w:r>
    </w:p>
    <w:p>
      <w:r>
        <w:t>Aus den dargelegten Gründen durften die kantonalen Gerichte ein schutzwürdiges Interesse der Beschwerdegegner an der Verlegung des Wegrechts bejahen. Bei diesem Ergebnis ist auf alle weiteren Einwände des Beschwerdeführers, namentlich auf die Zurückweisung von angeblichen Angriffen des Kantonsgerichts auf seine Person, nicht einzugehen, kann doch ihre Beurteilung für den Ausgang des Verfahrens nicht mehr entscheidend sein. Blosse Erwägungen aber bedeuten keine Beschwer ( BGE 129 III 320 E. 5.1 S. 323; 130 III 321 E. 6 S. 328).</w:t>
      </w:r>
    </w:p>
    <w:p>
      <w:r>
        <w:rPr>
          <w:b/>
        </w:rPr>
        <w:t>E. 5</w:t>
      </w:r>
    </w:p>
    <w:p>
      <w:r>
        <w:t>Insgesamt muss die Beschwerde abgewiesen werden, soweit darauf einzutreten ist. Der Beschwerdeführer wird damit kostenpflichtig, nicht hingegen entschädigungspflichtig, da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