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5A_178/2008 vom 23. April 2008</w:t>
      </w:r>
    </w:p>
    <w:p>
      <w:r>
        <w:t>Bundesgericht, 2008-04-23, FR</w:t>
      </w:r>
    </w:p>
    <w:p>
      <w:r>
        <w:rPr>
          <w:b/>
        </w:rPr>
        <w:t xml:space="preserve">Quelle: </w:t>
      </w:r>
      <w:r>
        <w:t>https://mcp.opencaselaw.ch/entscheid/bger_5A_178_2008</w:t>
      </w:r>
    </w:p>
    <w:p>
      <w:r>
        <w:t>FR: TF 5A_178/2008 du 23 avril 2008</w:t>
      </w:r>
    </w:p>
    <w:p>
      <w:r>
        <w:t>IT: TF 5A_178/2008 del 23 aprile 2008</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 recours est dirigé contre une décision finale ( art. 90 LTF ) prise en matière civile ( art. 72 al. 1 LTF ) par l'autorité cantonale de dernière instance statuant sur recours ( art. 75 al. 1 et 2 LTF ). La valeur litigieuse minimale est également atteinte ( art. 74 al. 1 let. b LTF ). Interjeté en temps utile ( art. 100 al. 1 LTF ) par la partie ayant succombé dans ses conclusions en instance cantonale ( art. 76 al. 1 LTF ), le recours est en outre recevable sous l'angle de ces dispositions.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133 IV 150 consid. 1.2 p. 152). Le Tribunal fédéral ne connaît de la violation de droits fondamentaux ou du droit cantonal que si ce grief a été invoqué et motivé par le recourant ( art. 106 al. 2 LTF ), les exigences de motivation correspondant à celles de l'art. 90 al. 1 let. b aOJ ( ATF 134 I 23 consid. 5.2 p. 30 et les arrêts cités).</w:t>
      </w:r>
    </w:p>
    <w:p>
      <w:r>
        <w:rPr>
          <w:b/>
        </w:rPr>
        <w:t>E. 1.3</w:t>
      </w:r>
    </w:p>
    <w:p>
      <w:r>
        <w:t>Le Tribunal fédéral statue, en principe, sur la base des faits établis par l'autorité précédente ( art. 105 al. 1 LTF ); il ne peut s'en écarter que si ces faits ont été établis de façon manifestement inexacte ou en violation du droit au sens de l' art. 95 LTF ( art. 105 al. 2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 décision attaquée ( ATF 133 III 462 consid. 2.4 p. 466/467; 133 IV 150 consid. 1.3 p. 152). Aucun fait nouveau ni preuve nouvelle ne peut être présenté, à moins de résulter de la décision de l'autorité précédente ( art. 99 al. 1 LTF ).</w:t>
      </w:r>
    </w:p>
    <w:p>
      <w:r>
        <w:rPr>
          <w:b/>
        </w:rPr>
        <w:t>E. 2</w:t>
      </w:r>
    </w:p>
    <w:p>
      <w:r>
        <w:t>L'autorité précédente a retenu qu'elle était compétente pour examiner, respectivement ratifier, la convention alimentaire conclue en faveur des enfants A.________ et B.________, après vérification des ressources et charges actuelles des parents et de la situation globale pour tenir compte aussi de la convention du 28 mars 2004 passée en faveur de l'enfant C.________.</w:t>
      </w:r>
    </w:p>
    <w:p>
      <w:r>
        <w:t>Pour déterminer si les contributions alimentaires étaient adéquates au regard des ressources du père, la juridiction précédente s'est référé à la pratique vaudoise qui part, en principe, d'un pourcentage du revenu mensuel ou de la capacité de gain du débirentier, dont la proportion varie en fonction du nombre d'enfants à charge, tout en précisant qu'il s'agit là d'un taux approximatif qui doit être pondéré au vu des circonstances, selon l'équité; elle a ainsi considéré que le taux retenu par le premier juge, qui correspondait à 31% du revenu du recourant (à savoir 7'782 fr. par mois), était correct, la limite inférieure de la fourchette pour trois enfants étant de 30%; elle a estimé que le salaire de l'intéressé entrait dans la catégorie des «revenus moyens» et que, si l'on devait tenir son revenu pour supérieur à la moyenne, les pensions auraient même pu être légèrement plus élevées. Ce faisant, le Tribunal cantonal a constaté que le minimum vital élargi du recourant, comprenant, entre autres charges, la charge fiscale et une majoration forfaitaire de 20% de la base mensuelle, n'était pas entamé.</w:t>
      </w:r>
    </w:p>
    <w:p>
      <w:r>
        <w:t>S'agissant de la mère, l'autorité précédente a retenu que, même si elle percevait un revenu mensuel de 10'000 fr., elle avait des frais de garde qui s'élevaient à 1'950 fr. - sans compter les frais de nourriture et de logement de la jeune fille -, de sorte que le montant à sa disposition (i.e. 8'000 fr.) n'était pas beaucoup plus élevé que le salaire perçu par le recourant (i.e. 7'782 fr.), qui bénéficiait, de surcroît, d'une voiture de fonction mise à disposition par l'employeur. De plus, la situation financière de l'intimée semblait avoir été surévaluée, dès lors qu'elle devait vraisemblablement s'acquitter d'une dette à l'égard du cabinet qu'elle exploitait avec son associé. Enfin, même si l'on devait admettre qu'elle bénéficiait d'une situation financière relativement bonne, cette situation devait avant tout profiter aux enfants.</w:t>
      </w:r>
    </w:p>
    <w:p>
      <w:r>
        <w:t>En rapport avec les frais relatifs au droit de visite exercé par le père, l'autorité précédente a relevé que ce droit de visite de sept jours par mois, légèrement supérieur à la moyenne de quatre jours par mois, ne saurait être assimilé à une garde alternée, d'autant que la mère assume tous les frais fixes concernant les enfants, en particulier les primes d'assurance-maladie; il n'y a donc pas lieu de réduire les contributions pour ce motif. De plus, les contributions sont dues dès la séparation des parties (i.e. octobre 2004), comme le prévoyaient les conventions signées entre les parties.</w:t>
      </w:r>
    </w:p>
    <w:p>
      <w:r>
        <w:rPr>
          <w:b/>
        </w:rPr>
        <w:t>E. 3</w:t>
      </w:r>
    </w:p>
    <w:p>
      <w:r>
        <w:t>Le recourant se plaint d'une violation de l' art. 285 CC .</w:t>
      </w:r>
    </w:p>
    <w:p>
      <w:r>
        <w:rPr>
          <w:b/>
        </w:rPr>
        <w:t>E. 3.1</w:t>
      </w:r>
    </w:p>
    <w:p>
      <w:r>
        <w:t>Dans un premier grief, il semble critiquer la méthode appliquée par l'autorité précédente en se référant à la méthode dite zurichoise, tout en reconnaissant le large pouvoir d'appréciation dont bénéficie le juge dans l'application de la disposition précitée.</w:t>
      </w:r>
    </w:p>
    <w:p>
      <w:r>
        <w:rPr>
          <w:b/>
        </w:rPr>
        <w:t>E. 3.2</w:t>
      </w:r>
    </w:p>
    <w:p>
      <w:r>
        <w:t>L' art. 276 al. 1 CC impose aux père et mère de pourvoir à l'entretien de l'enfant et d'assumer par conséquent les frais de son éducation, de sa formation et des mesures prises pour le protéger; l'entretien est assuré par les soins ou l'éducation ou, lorsque l'enfant n'est pas sous la garde de ses père et mère, par des prestations pécuniaires ( art. 276 al. 2 CC ). D'après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En présence de capacités financières limitées, le minimum vital du débirentier au sens du droit des poursuites doit en principe être garanti ( ATF 127 III 68 consid. 2c p. 70; 126 III 353 consid. 1a/aa p. 356; 123 III 1 consid. 3b/bb p. 5 et consid. 5 p. 9; 121 I 367 consid. 2 p. 370 ss). Lorsque plusieurs enfants ont droit à une contribution d'entretien, le principe de l'égalité de traitement doit être respecté ( ATF 127 III 68 consid. 2c p. 70; 126 III 353 consid. 2b p. 357 et les arrêts cités).</w:t>
      </w:r>
    </w:p>
    <w:p>
      <w:r>
        <w:t>La loi ne prescrit pas de méthode de calcul particulière pour arrêter la contribution d'entretien ( ATF 128 III 411 consid. 3.2.2 p. 414); sa fixation relève de l'appréciation du juge, qui applique les règles du droit et de l'équité ( art. 4 CC ; ATF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127 III 136 consid. 3a p. 141).</w:t>
      </w:r>
    </w:p>
    <w:p>
      <w:r>
        <w:rPr>
          <w:b/>
        </w:rPr>
        <w:t>E. 3.3</w:t>
      </w:r>
    </w:p>
    <w:p>
      <w:r>
        <w:t>En l'espèce, la méthode abstraite appliquée par la cour cantonale,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 ATF 116 II 110 consid. 3a p. 112; arrêt 5A_84/2007 du 18 septembre 2007, consid. 5.1; Wullschleger, in FamKommentar Scheidung, 2e éd., n. 65-67 ad art. 285 CC et la doctrine citée; Bastons-Bulleti, L'entretien après divorce: méthodes de calcul, montant, durée et limites, in SJ 2007 II p. 107 s.). En s'en tenant à la fourchette basse du pourcentage du revenu du recourant prévu pour trois enfants (31%) pour arrêter les contributions d'entretien, les juges cantonaux n'ont donc pas abusé de leur pouvoir d'appréciation dans l'application de cette méthode.</w:t>
      </w:r>
    </w:p>
    <w:p>
      <w:r>
        <w:rPr>
          <w:b/>
        </w:rPr>
        <w:t>E. 3.4</w:t>
      </w:r>
    </w:p>
    <w:p>
      <w:r>
        <w:t>Le recourant estime que la différence entre son revenu et celui de l'intimée, de près de 2'300 fr. (10'000 fr. - 7'782 fr.), compense largement les frais de garde des enfants qu'elle supporte (i.e. 1'950 fr.). Il reproche à la juridiction précédente de ne pas avoir revu à la baisse les pourcentages habituels afin de tenir compte des gains nettement supérieurs de la mère.</w:t>
      </w:r>
    </w:p>
    <w:p>
      <w:r>
        <w:t>Par cette critique, le recourant concède que les revenus des parents sont relativement équivalents, puisque le supplément de revenu de la mère sert au paiement des frais de garde. Ce faisant, il ne démontre pas en quoi l'autorité cantonale aurait abusé de son pouvoir d'appréciation dans l'application de l' art. 285 CC en retenant qu'il n'y avait pas lieu de diminuer les pensions par le motif que les revenus des parents sont relativement équivalents. Pour justifier l'étendue des contributions d'entretien, l'autorité précédente a aussi envisagé une éventuelle diminution des revenus de la mère, en prenant en compte la dette qu'elle doit rembourser à son associé. Enfin, elle a également considéré que, même si l'on devait qualifier la situation financière de l'intimée de relativement bonne, elle devrait alors profiter aux enfants. Or, le recourant ne s'en prend pas à ces motifs supplémentaires; il ne conteste pas, en particulier, que l'intimée aurait une dette à rembourser qui entraînerait une diminution de son revenu et ne discute pas davantage l'argument selon lequel la situation favorable du parent détenteur de la garde doit profiter aux enfants mineurs, ce qui est, au demeurant, conforme à la jurisprudence ( ATF 108 II 83 et les références citées; arrêt 5C.27/2004 du 30 avril 2004, consid. 4.2, in FamPra.ch 2004 p. 728).</w:t>
      </w:r>
    </w:p>
    <w:p>
      <w:r>
        <w:rPr>
          <w:b/>
        </w:rPr>
        <w:t>E. 3.5</w:t>
      </w:r>
    </w:p>
    <w:p>
      <w:r>
        <w:t>Le recourant reproche encore à la cour cantonale de ne pas avoir tenu compte de son droit de visite élargi, qui - à son avis - est proche d'une «garde alternée» et justifierait une diminution des contributions alimentaires, les frais d'entretien n'étant pas répartis de manière égale entre les parents.</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 5C.42/2001 du 18 mai 2001 consid. 3a, in SJ 2001 I 407 et les citations). L'autorité précédente a considéré avec raison que l'exercice d'un droit de visite de sept jours par mois par le parent non gardien n'équivalait pas à une garde alternée, laquelle suppose une prise en charge effective des enfants la moitié du mois. En retenant au surplus que ce droit de visite, légèrement supérieur à la moyenne de quatre jours par mois, ne justifiait pas une réduction des contributions d'entretien parce que la mère assumait l'ensemble des frais fixes relatifs aux besoins des enfants, la cour cantonale n'a pas violé le droit fédéral. La jurisprudence citée par le recourant (arrêt 5P.327/2005 du 27 février 2005, consid. 4.4.3) ne lui est d'aucun secours, les circonstances de fait, en particulier l'étendue du droit de visite ainsi que la répartition des frais entre les parents, étant différentes de celles de la présente espèce.</w:t>
      </w:r>
    </w:p>
    <w:p>
      <w:r>
        <w:rPr>
          <w:b/>
        </w:rPr>
        <w:t>E. 4</w:t>
      </w:r>
    </w:p>
    <w:p>
      <w:r>
        <w:t>En conclusion, le présent recours doit être rejeté dans la mesure où il est recevable, aux frais du recourant qui succombe ( art. 66 al. 1 LTF ). Il n'y a pas lieu d'allouer des dépens à l'intimée, qui n'a pas été invitée à répondre sur le fond et s'est déterminée très brièvement sur l'octroi de l'effet suspensif, qui a en partie été accordé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