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5A_177/2024 vom 15. März 2024</w:t>
      </w:r>
    </w:p>
    <w:p>
      <w:r>
        <w:t>Bundesgericht, 2024-03-15, DE</w:t>
      </w:r>
    </w:p>
    <w:p>
      <w:r>
        <w:rPr>
          <w:b/>
        </w:rPr>
        <w:t xml:space="preserve">Quelle: </w:t>
      </w:r>
      <w:r>
        <w:t>https://mcp.opencaselaw.ch/entscheid/bger_5A_177_2024</w:t>
      </w:r>
    </w:p>
    <w:p>
      <w:r>
        <w:t>FR: TF 5A_177/2024 du 15 mars 2024</w:t>
      </w:r>
    </w:p>
    <w:p>
      <w:r>
        <w:t>IT: TF 5A_177/2024 del 15 marzo 2024</w:t>
      </w:r>
    </w:p>
    <w:p>
      <w:pPr>
        <w:pStyle w:val="Heading2"/>
      </w:pPr>
      <w:r>
        <w:t>Erwägungen</w:t>
      </w:r>
    </w:p>
    <w:p>
      <w:r>
        <w:rPr>
          <w:b/>
        </w:rPr>
        <w:t>E. 1</w:t>
      </w:r>
    </w:p>
    <w:p>
      <w:r>
        <w:t>Vor Bundesgericht angefochten werden können in Zivilsachen einzig kantonal letztinstanzliche Endentscheide ( Art. 72 Abs. 1, Art. 75 Abs. 1 und Art. 90 BGG ) sowie ausnahmsweise kantonal letztinstanzliche Zwischenentscheide unter den besonderen Voraussetzungen von Art. 93 Abs. 1 BGG . Ferner kann in Bezug auf kantonal letztinstanzliche Verfahren eine Rechtsverzögerung oder Rechtsverweigerung gerügt werden ( Art. 94 BGG ).</w:t>
      </w:r>
    </w:p>
    <w:p>
      <w:r>
        <w:rPr>
          <w:b/>
        </w:rPr>
        <w:t>E. 2</w:t>
      </w:r>
    </w:p>
    <w:p>
      <w:r>
        <w:t>Am 2. Februar 2024 wies das Bezirksgericht Schwyz eine Eingabe des Beschwerdeführers vom 29. Januar 2024 gestützt auf Art. 132 Abs. 3 ZPO ohne Behandlung zurück. Eine solche Rückweisung kann, selbst wenn sie kantonal letztinstanzlich erfolgt wäre, nicht beim Bundesgericht angefochten werden, weil diesfalls ein Verfahren weder eröffnet noch weitergeführt worden ist; vielmehr wäre hier eine Rechtsverzögerungsbeschwerde zu erheben (Urteile 4A_277/2013 vom 29. Juli 2013; 5D_230/2017 vom 16. November 2017 E. 2; 4A_162/2018 vom 22. August 2018 E. 1; 5D_75/2018 vom 25. September 2018 E. 2). Unabhängig von der rechtlichen Einordnung geht es vorliegend um eine erstinstanzliche Rückweisung; insoweit ist das Bundesgericht zur Behandlung der Beschwerde funktional unzuständig.</w:t>
      </w:r>
    </w:p>
    <w:p>
      <w:r>
        <w:rPr>
          <w:b/>
        </w:rPr>
        <w:t>E. 3</w:t>
      </w:r>
    </w:p>
    <w:p>
      <w:r>
        <w:t>Die kantonsgerichtliche Verfügung vom 26. Februar 2024 ist zwar ein kantonal letztinstanzlicher Akt. Indes wird darin lediglich eine ergänzende Eingabe des Beschwerdeführers vom 23. Februar 2024 der Gegenpartei zur Kenntnis zugestellt. Somit geht es nicht um einen Zwischenentscheid im Sinn von Art. 93 Abs. 1 BGG , sondern um eine unselbständig erlassene prozessleitende Verfügung, welche beim Bundesgericht nicht anfechtbar ist (Urteile 5A_783/2014 vom 4. November 2014 E. 1; 5A_599/2022 vom 15. August 2022 E. 1; 5A_526/2023 vom 19. Juli 2023 E. 3; 5A_961/2023 vom 20. Dezember 2023 E. 2).</w:t>
      </w:r>
    </w:p>
    <w:p>
      <w:r>
        <w:rPr>
          <w:b/>
        </w:rPr>
        <w:t>E. 4</w:t>
      </w:r>
    </w:p>
    <w:p>
      <w:r>
        <w:t>Nach dem Gesagten erweist sich die Beschwerde als offensichtlich unzulässig, weshalb auf sie nicht eingetreten werden kann und der Präsident im vereinfachten Verfahren entscheidet ( Art. 108 Abs. 1 lit. a BGG ).</w:t>
      </w:r>
    </w:p>
    <w:p>
      <w:r>
        <w:rPr>
          <w:b/>
        </w:rPr>
        <w:t>E. 5</w:t>
      </w:r>
    </w:p>
    <w:p>
      <w:r>
        <w:t>Die Gerichtskosten sind dem Beschwerdeführer aufzuerlegen ( Art. 66 Abs. 1 BGG ), zumal die angefochtenen Akte (zutreffend) keine Rechtsmittelbelehrung enthielten und somit auch nicht die Konstellation vorliegt, dass sich der Beschwerdeführer gutgläubig auf eine falsche Belehrung verlassen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