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5A_177/2022 vom 14. September 2022</w:t>
      </w:r>
    </w:p>
    <w:p>
      <w:r>
        <w:t>Bundesgericht, 2022-09-14, FR</w:t>
      </w:r>
    </w:p>
    <w:p>
      <w:r>
        <w:rPr>
          <w:b/>
        </w:rPr>
        <w:t xml:space="preserve">Quelle: </w:t>
      </w:r>
      <w:r>
        <w:t>https://mcp.opencaselaw.ch/entscheid/bger_5A_177_2022</w:t>
      </w:r>
    </w:p>
    <w:p>
      <w:r>
        <w:t>FR: TF 5A_177/2022 du 14 septembre 2022</w:t>
      </w:r>
    </w:p>
    <w:p>
      <w:r>
        <w:t>IT: TF 5A_177/2022 del 14 settembre 2022</w:t>
      </w:r>
    </w:p>
    <w:p>
      <w:pPr>
        <w:pStyle w:val="Heading2"/>
      </w:pPr>
      <w:r>
        <w:t>Erwägungen</w:t>
      </w:r>
    </w:p>
    <w:p>
      <w:r>
        <w:rPr>
          <w:b/>
        </w:rPr>
        <w:t>E. 1</w:t>
      </w:r>
    </w:p>
    <w:p>
      <w:r>
        <w:t>Les conditions du recours en matière civile sont ici réalisées (art. 72 al. 2 let. b ch. 6, 75 al. 1 et 2, 76 al. 1 let. a et b, 90 et 100 al. 1 LTF), étant précisé que la cause n'est pas de nature pécuniaire.</w:t>
      </w:r>
    </w:p>
    <w:p>
      <w:r>
        <w:rPr>
          <w:b/>
        </w:rPr>
        <w:t>E. 2.1</w:t>
      </w:r>
    </w:p>
    <w:p>
      <w:r>
        <w:t>La décision entreprise porte sur des mesures provisionnelles au sens de l' art. 98 LTF ; la partie recourante ne peut ainsi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 141 IV 249 consid. 1.3.1).</w:t>
      </w:r>
    </w:p>
    <w:p>
      <w:r>
        <w:rPr>
          <w:b/>
        </w:rPr>
        <w:t>E. 3</w:t>
      </w:r>
    </w:p>
    <w:p>
      <w:r>
        <w:t>La recourante reproche à la cour cantonale d'avoir arbitrairement établi les faits, ce qui l'aurait conduit à appliquer arbitrairement l' art. 273 CC .</w:t>
      </w:r>
    </w:p>
    <w:p>
      <w:r>
        <w:rPr>
          <w:b/>
        </w:rPr>
        <w:t>E. 3.1.1</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 ATF 142 III 617 consid. 3.2.3; 141 III 328 consid. 5.4; 131 III 209 consid. 5; arrêt 5A_654/2019 du 14 mai 2020 consid. 3.1 et les références).</w:t>
      </w:r>
    </w:p>
    <w:p>
      <w:r>
        <w:t>Si les relations personnelles compromettent le développement de l'enfant, le droit d'entretenir ces relations peut être retiré ou refusé en tant qu'</w:t>
      </w:r>
    </w:p>
    <w:p>
      <w:r>
        <w:t>ultima ratio ( art. 274 al. 2 CC ; arrêt 5A_699/2021 du 21 décembre 2021 consid. 6.1 et la jurisprudence citée).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5A_962/2018 du 2 mai 2019 consid. 5.2.2; 5A_478/2018 du 10 août 2018 consid. 5.2.2 et la jurisprudence citée).</w:t>
      </w:r>
    </w:p>
    <w:p>
      <w:r>
        <w:t>Comme le retrait ou le refus du droit aux relations personnelles selon l' art. 274 CC ,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 ATF 122 III 404 consid. 3c; arrêts 5A_68/2020 du 2 septembre 2020 consid. 3.2; 5A_654/2019 du 14 mai 2020 consid. 3.1; 5A_191/2018 du 7 août 2018 consid. 6.2.2.1 et les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5A_874/2021 du 13 mai 2022 consid. 4.1.1; 5A_191/2018 précité ibid. et les références).</w:t>
      </w:r>
    </w:p>
    <w:p>
      <w:r>
        <w:rPr>
          <w:b/>
        </w:rPr>
        <w:t>E. 3.1.2</w:t>
      </w:r>
    </w:p>
    <w:p>
      <w:r>
        <w:t>L'appréciation des circonstances de fait pour fixer le droit aux relations personnelles, c'est-à-dire la détermination de leur portée juridique, est une question de droit soumise à l'appréciation du juge ( art. 4 CC ; ATF 131 III 209 consid. 3; arrêts 5A_874/2021 précité ibid.; 5A_842/2020 du 14 octobre 2021 consid. 5.1; 5A_489/2019 du 24 août 2020 consid. 5.1 et la jurisprudence citée).</w:t>
      </w:r>
    </w:p>
    <w:p>
      <w:r>
        <w:rPr>
          <w:b/>
        </w:rPr>
        <w:t>E. 3.2.1</w:t>
      </w:r>
    </w:p>
    <w:p>
      <w:r>
        <w:t>Dans son ordonnance du 14 octobre 2021, se référant aux épisodes de violence dont l'intimé avait fait preuve en présence de sa fille, la juge de paix a estimé que, même si ceux-ci s'étaient déroulés plus de deux ans auparavant, elle n'était pas suffisamment renseignée et rassurée sur la capacité de l'intéressé à exercer son droit de visite sans médiatisation. Celui-ci devait ainsi continuer à se dérouler de manière limitée et encadrée dans un premier temps.</w:t>
      </w:r>
    </w:p>
    <w:p>
      <w:r>
        <w:rPr>
          <w:b/>
        </w:rPr>
        <w:t>E. 3.2.2</w:t>
      </w:r>
    </w:p>
    <w:p>
      <w:r>
        <w:t>La chambre des curatelles a relevé que le dernier épisode de violence constaté datait de janvier 2019 et que, depuis lors, aucun évènement de ce type n'avait été signalé. Sans minimiser les violences constatées et reconnues par l'intimé lui-même, il fallait relever que celles-ci n'avaient pas été exercées à l'encontre de la fillette et qu'en 2019 déjà, la DGEJ constatait que l'enfant se portait bien et qu'aucune action socio-éducative ne devait être mise en place. Aucun indice au dossier n'établissait que le bien de l'enfant serait menacé par les rencontres avec son père ou que celui-ci ne serait pas en mesure de s'en occuper; le manque de renseignements sur la situation du recourant n'était enfin pas avéré et ne changeait rien à ce constat. Dans la mesure où, selon les indications de l'UEMS, le rapport de celle-ci ne pourrait vraisemblablement être déposé avant plusieurs mois, et en l'absence d'éléments plaidant en faveur d'une mise en danger de l'enfant, le droit de visite du père devait être élargi progressivement pour être finalement libre à raison d'un jour par semaine.</w:t>
      </w:r>
    </w:p>
    <w:p>
      <w:r>
        <w:rPr>
          <w:b/>
        </w:rPr>
        <w:t>E. 3.3</w:t>
      </w:r>
    </w:p>
    <w:p>
      <w:r>
        <w:t>La recourante soutient essentiellement que les constatations de l'autorité cantonale selon lesquelles aucun élément remettant en cause la capacité du père de s'occuper de sa fille seraient insoutenables. Les éléments factuels sur lesquels elle se fonde relèvent cependant principalement de sa propre appréciation et ne sont pas de nature à faire apparaître arbitraires le raisonnement suivi par la juridiction précédente et le résultat auquel parvient celle-ci: l'on ne peut en effet sans autre déduire un désintéressement de l'intimé pour son enfant en raison de sa reconnaissance tardive, motivée par des considérations financières, ni le caractère déstabilisant du droit de visite pour la fillette du fait que celle-ci aurait besoin d'un certain temps d'adaptation pour nouer une relation avec son père. La référence récurrente de la recourante au rapport établi par la DGEJ en mars 2019 n'apparaît pas non plus décisive pour s'opposer à l'élargissement du droit de visite ordonné par la cour cantonale: les faits qui y sont relatés datent désormais de quelques années et, comme le souligne la cour cantonale sans contestation de la recourante, la violence de l'intimé n'a jamais été dirigée à l'encontre de l'enfant. L'on relèvera par ailleurs que l'intimé a donné en audience des renseignements sur sa situation personnelle (appartement, compagne) et professionnelle (engagement sur des chantiers) sans que la recourante démontre en quoi ceux-ci seraient insuffisants pour permettre l'exercice du droit de visite selon les modalités arrêtées par l'autorité cantonale. Certes, ainsi que le remarque la recourante, une enquête sociale est en cours; elle ne conteste pas cependant que, selon les indications fournies par le service en charge de son établissement, celle-ci est susceptible de prendre un certain temps, comme l'ont souligné les juges cantonaux pour justifier l'élargissement du droit de visite. Enfin et il s'agit là de la considération essentielle, la recourante ne nie pas qu'aucun indice au dossier n'établit que le bien de l'enfant serait menacé par les rencontres avec son père ou que celui-ci ne serait pas en mesure de s'en occuper.</w:t>
      </w:r>
    </w:p>
    <w:p>
      <w:r>
        <w:rPr>
          <w:b/>
        </w:rPr>
        <w:t>E. 3.4</w:t>
      </w:r>
    </w:p>
    <w:p>
      <w:r>
        <w:t>Vu ce qui précède, les modalités du droit de visite telles qu'arrêtées par la cour cantonale n'apparaissent pas arbitraires et doivent être maintenues.</w:t>
      </w:r>
    </w:p>
    <w:p>
      <w:r>
        <w:rPr>
          <w:b/>
        </w:rPr>
        <w:t>E. 4</w:t>
      </w:r>
    </w:p>
    <w:p>
      <w:r>
        <w:t>Le recours est rejeté dans la mesure où il est recevable. En tant que les conclusions de la recourante étaient d'emblée dépourvues de chance de succès, sa requête d'assistance judiciaire doit être rejetée ( art. 64 al. 1 LTF ) et les frais judiciaires mis à sa charge ( art. 66 al. 1 LTF ). Aucune indemnité de dépens n'est octroyée à l'intimé, qui a conclu sans succès au rejet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