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5A_177/2019 vom 6. März 2019</w:t>
      </w:r>
    </w:p>
    <w:p>
      <w:r>
        <w:t>Bundesgericht, 2019-03-06, DE</w:t>
      </w:r>
    </w:p>
    <w:p>
      <w:r>
        <w:rPr>
          <w:b/>
        </w:rPr>
        <w:t xml:space="preserve">Quelle: </w:t>
      </w:r>
      <w:r>
        <w:t>https://mcp.opencaselaw.ch/entscheid/bger_5A_177_2019</w:t>
      </w:r>
    </w:p>
    <w:p>
      <w:r>
        <w:t>FR: TF 5A_177/2019 du 6 mars 2019</w:t>
      </w:r>
    </w:p>
    <w:p>
      <w:r>
        <w:t>IT: TF 5A_177/2019 del 6 marzo 2019</w:t>
      </w:r>
    </w:p>
    <w:p>
      <w:pPr>
        <w:pStyle w:val="Heading2"/>
      </w:pPr>
      <w:r>
        <w:t>Erwägungen</w:t>
      </w:r>
    </w:p>
    <w:p>
      <w:r>
        <w:rPr>
          <w:b/>
        </w:rPr>
        <w:t>E. 1</w:t>
      </w:r>
    </w:p>
    <w:p>
      <w:r>
        <w:t>Die Beschwerdeführerin stellt gegen das zuständige Behördenmitglied der KESB einen Strafantrag wegen falscher Behauptungen. Indes ist das Bundesgericht zur Entgegennahme von Strafanzeigen nicht zuständig. Es hat einzig die Kompetenz zur Beurteilung von Beschwerden gegen kantonal letztinstanzliche Entscheide.</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Beschwerdeführerin hält fest, dass sie keine Klinik aufsuchen werde und keine Beiständin brauche. Die Unterstellungen seitens der KESB seien aus der Luft gegriffen. Sie sei seit zwei Jahren mit Herrn D.________ zusammen und sehr glücklich mit ihm; sie habe keine Lust mehr, sich von der Schweizer Justiz sagen zu lassen, was für sie richtig sei.</w:t>
      </w:r>
    </w:p>
    <w:p>
      <w:r>
        <w:t>Dies stellt keine Auseinandersetzung mit den Erwägungen des angefochtenen Entscheides dar, in welchen die Erforderlichkeit der angeordneten Massnahmen ausführlich dargelegt wird. Nach Durchsicht der Akten wäre auch nicht erkennbar, inwiefern das Obergericht Appenzell Ausserrhoden gegen Recht verstossen haben könnte.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