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5A_176/2021 vom 5. März 2021</w:t>
      </w:r>
    </w:p>
    <w:p>
      <w:r>
        <w:t>Bundesgericht, 2021-03-05, DE</w:t>
      </w:r>
    </w:p>
    <w:p>
      <w:r>
        <w:rPr>
          <w:b/>
        </w:rPr>
        <w:t xml:space="preserve">Quelle: </w:t>
      </w:r>
      <w:r>
        <w:t>https://mcp.opencaselaw.ch/entscheid/bger_5A_176_2021</w:t>
      </w:r>
    </w:p>
    <w:p>
      <w:r>
        <w:t>FR: TF 5A_176/2021 du 5 mars 2021</w:t>
      </w:r>
    </w:p>
    <w:p>
      <w:r>
        <w:t>IT: TF 5A_176/2021 del 5 marzo 2021</w:t>
      </w:r>
    </w:p>
    <w:p>
      <w:pPr>
        <w:pStyle w:val="Heading2"/>
      </w:pPr>
      <w:r>
        <w:t>Erwägungen</w:t>
      </w:r>
    </w:p>
    <w:p>
      <w:r>
        <w:rPr>
          <w:b/>
        </w:rPr>
        <w:t>E. 1</w:t>
      </w:r>
    </w:p>
    <w:p>
      <w:r>
        <w:t>Die Beschwerde betrifft weitgehend den aufsichtsrechtlichen Teil des appellationsgerichtlichen Verfahrens (angebliche Verfehlungen der Zivilgerichtspräsidentin vorwiegend privater Natur). Das Bundesgericht hat indes keinerlei Aufsichtsfunktion gegenüber kantonalen Gerichten und Gerichtspersonen. Insofern ist die Beschwerde von vornherein unzulässig.</w:t>
      </w:r>
    </w:p>
    <w:p>
      <w:r>
        <w:rPr>
          <w:b/>
        </w:rPr>
        <w:t>E. 2</w:t>
      </w:r>
    </w:p>
    <w:p>
      <w:r>
        <w:t>Im Übrigen äussert sich der Beschwerdeführer einzig zu Themen (Akteneinsicht bzw. Aktenherausgabe), die nicht Gegenstand des vorliegend angefochtenen Entscheides DGZ.2020.11, sondern vielmehr des Entscheides BEZ.2020.67 sind, über welchen mit heutigem Urteil 5A_177/2021 zu befinden ist. Darauf kann vorliegend ebenfalls nicht eingetreten werden.</w:t>
      </w:r>
    </w:p>
    <w:p>
      <w:r>
        <w:rPr>
          <w:b/>
        </w:rPr>
        <w:t>E. 3</w:t>
      </w:r>
    </w:p>
    <w:p>
      <w:r>
        <w:t>Soweit der Beschwerdeführer sinngemäss auch in Bezug auf den im vorliegenden Verfahren angefochtenen Entscheid DGZ.2020.11 bemängeln sollte, dass das Appellationsgericht keine öffentliche Verhandlung durchgeführt hat, tut er nicht dar, dass er eine solche verlangt hätte. Weiterungen erübrigen sich somit.</w:t>
      </w:r>
    </w:p>
    <w:p>
      <w:r>
        <w:rPr>
          <w:b/>
        </w:rPr>
        <w:t>E. 4</w:t>
      </w:r>
    </w:p>
    <w:p>
      <w:r>
        <w:t>Nach dem Gesagten ist auf die Beschwerde im vereinfachten Verfahren nach Art. 108 Abs. 1 lit. a BGG nicht einzutreten.</w:t>
      </w:r>
    </w:p>
    <w:p>
      <w:r>
        <w:rPr>
          <w:b/>
        </w:rPr>
        <w:t>E. 5</w:t>
      </w:r>
    </w:p>
    <w:p>
      <w:r>
        <w:t>Mit dem sofortigen Entscheid in der Sache wird das Gesuch um aufschiebende Wirkung gegenstandslos.</w:t>
      </w:r>
    </w:p>
    <w:p>
      <w:r>
        <w:rPr>
          <w:b/>
        </w:rPr>
        <w:t>E. 6</w:t>
      </w:r>
    </w:p>
    <w:p>
      <w:r>
        <w:t>Wie die vorstehenden Erwägungen zeigen, konnte der Beschwerde von Anfang an kein Erfolg beschieden sein, weshalb es bereits an den materiellen Voraussetzungen der unentgeltlichen Rechtspflege fehlt ( Art. 64 Abs. 1 BGG ). Im Übrigen werden die formellen Voraussetzungen (Prozessarmut) mit keinem Wort dargetan, geschweige denn belegt.</w:t>
      </w:r>
    </w:p>
    <w:p>
      <w:r>
        <w:rPr>
          <w:b/>
        </w:rPr>
        <w:t>E. 7</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