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5A_176/2020 vom 8. Juli 2020</w:t>
      </w:r>
    </w:p>
    <w:p>
      <w:r>
        <w:t>Bundesgericht, 2020-07-08, FR</w:t>
      </w:r>
    </w:p>
    <w:p>
      <w:r>
        <w:rPr>
          <w:b/>
        </w:rPr>
        <w:t xml:space="preserve">Quelle: </w:t>
      </w:r>
      <w:r>
        <w:t>https://mcp.opencaselaw.ch/entscheid/bger_5A_176_2020</w:t>
      </w:r>
    </w:p>
    <w:p>
      <w:r>
        <w:t>FR: TF 5A_176/2020 du 8 juillet 2020</w:t>
      </w:r>
    </w:p>
    <w:p>
      <w:r>
        <w:t>IT: TF 5A_176/2020 del 8 luglio 2020</w:t>
      </w:r>
    </w:p>
    <w:p>
      <w:pPr>
        <w:pStyle w:val="Heading2"/>
      </w:pPr>
      <w:r>
        <w:t>Erwägungen</w:t>
      </w:r>
    </w:p>
    <w:p>
      <w:r>
        <w:rPr>
          <w:b/>
        </w:rPr>
        <w:t>E. 1</w:t>
      </w:r>
    </w:p>
    <w:p>
      <w:r>
        <w:t>Le recours a été déposé à temps ( art. 100 al. 2 let. a LTF ) contre une décision rendue en matière de poursuite pour dettes ( art. 72 al. 2 let. a LTF ) par une autorité de surveillance ayant statué en dernière (unique) instance cantonale ( art. 75 al. 1 LTF ). Il est ouvert sans égard à la valeur litigieuse ( art. 74 al. 2 let . c LTF). La recourante a qualité pour recourir ( art. 76 al. 1 LTF ).</w:t>
      </w:r>
    </w:p>
    <w:p>
      <w:r>
        <w:rPr>
          <w:b/>
        </w:rPr>
        <w:t>E. 2.1</w:t>
      </w:r>
    </w:p>
    <w:p>
      <w:r>
        <w:t>Le recours en matière civile peut être formé pour violation du droit tel qu'il est délimité par les art. 95 s. LTF. Le Tribunal fédéral applique le droit d'office ( art. 106 al. 1 LTF ). Néanmoins, aux termes de l' art. 42 al. 2 LTF , la motivation d'un recours adressé au Tribunal fédéral doit indiquer succinctement en quoi la décision attaquée viole le droit. Lorsque la décision repose sur plusieurs motivations indépendantes, alternatives ou subsidiaires, et que chacune d'elles suffit à sceller le sort de la cause, la partie recourante doit démontrer que chacune de ces motivations est contraire au droit; à défaut, la motivation du recours n'est pas suffisante ( ATF 143 III 364 consid. 2.4 i.f.; 138 I 97 consid. 4.1.4).</w:t>
      </w:r>
    </w:p>
    <w:p>
      <w:r>
        <w:rPr>
          <w:b/>
        </w:rPr>
        <w:t>E. 2.2</w:t>
      </w:r>
    </w:p>
    <w:p>
      <w:r>
        <w:t>Le Tribunal fédéral statue sur la base des faits établis par la juridiction précédente ( art. 105 al. 1 LTF ).</w:t>
      </w:r>
    </w:p>
    <w:p>
      <w:r>
        <w:rPr>
          <w:b/>
        </w:rPr>
        <w:t>E. 3</w:t>
      </w:r>
    </w:p>
    <w:p>
      <w:r>
        <w:t>La chambre de surveillance a rejeté la plainte de la recourante sur la base de trois motivations indépendantes.</w:t>
      </w:r>
    </w:p>
    <w:p>
      <w:r>
        <w:t>Premièrement, elle a jugé, à l'instar de l'office, que la créance invoquée par la Banque en relation avec l'acte de cautionnement du 30 septembre 2013 était soumise à une condition suspensive au sens de l' art. 210 al. 1 LP . Or, dans la mesure où l'obligation virtuelle souscrite par la Banque au titre du cautionnement ne s'était pour l'instant pas concrétisée, et que l'on ignorait si elle se concrétiserait un jour, elle ne constituait qu'une expectative et ne pouvait dès lors être invoquée au titre de créance compensante. La faillite de la débitrice principale avait certes eu pour effet de rendre exigibles les créances à son encontre ( art. 208 al. 1 LP ) mais n'avait pas levé la condition, résultant des règles générales sur la compensation, de l'" invocabilité " en justice de la créance invoquée en compensation, avec pour conséquence qu'une créance soumise à une condition suspensive non encore réalisée, et dont on ignorait si elle se réaliserait un jour, ne pouvait être invoquée en compensation avec une créance de la faillie. Ce n'était que si la condition se réalisait au cours de la procédure de liquidation de la faillite que la créance compensante devenait invocable en justice et que la compensation devenait possible. Les nombreuses " jurisprudences " relatives à l' art. 213 al. 2 ch. 1 LP citées par la Banque ne lui étaient à cet égard d'aucun appui puisque cette disposition ne traitait pas des conditions de la compensation mais des limites temporelles auxquelles était soumis son exercice dans la faillite. La solution contraire, consistant à autoriser le titulaire d'une créance contre la faillie soumise à une condition suspensive de l'invoquer en compensation aurait pour effet de lui permettre d'en obtenir le paiement complet (ou à hauteur de sa propre dette) alors même que l'avènement de la condition, et donc la concrétisation de la créance, était incertaine. Elle irait en outre à l'encontre du système prévu par l' art. 210 LP pour les créances soumises à une condition suspensive. C'était donc à juste titre que, en l'état, l'office avait considéré que la plaignante n'avait pas éteint par compensation sa dette à l'égard de la faillie.</w:t>
      </w:r>
    </w:p>
    <w:p>
      <w:r>
        <w:t>Deuxièmement, la chambre de surveillance a jugé que la conclusion en constatation de compensation de la recourante était en tout état mal fondée. De son point de vue, une telle constatation aurait pour conséquence de faire disparaître un actif inventorié. Or, seule la seconde assemblée des créanciers ( art. 253 al. 2 LP ) ou, en cas de liquidation sommaire, les créanciers consultés par voie de circulaire, avaient la compétence de renoncer à des actifs inventoriés, et non l'office ou l'autorité de surveillance, lesquelles devaient faire preuve de retenue à cet égard.</w:t>
      </w:r>
    </w:p>
    <w:p>
      <w:r>
        <w:t>Troisièmement, la chambre de surveillance a jugé que les différentes déclarations et annonces de la recourante sur sa volonté de compenser étaient confuses, voire contradictoires. C'est ainsi que, notamment, tout en se prévalant dans son courrier du 12 octobre 2015 d'un droit de nantissement sur les avoirs déposés en ses mains, soit d'un droit de gage lui permettant d'être désintéressée de préférence sur le produit de réalisation des valeurs mises en gage, elle n'avait produit le 4 avril 2016 qu'une créance ordinaire et n'avait pas réagi lorsque ladite créance avait été colloquée en troisième classe, renonçant ainsi apparemment à se prévaloir d'un éventuel droit de gage. Elle s'était toutefois référée à ce droit de gage, comme si celui-ci lui avait été jusqu'alors reconnu, dans ses courriers du 12 octobre 2017 et 12 juillet 2019 adressés à l'office. Or, s'agissant de la compensation, la recourante l'avait certes invoquée dans son courrier à l'office du 12 octobre 2015 mais uniquement à titre subsidiaire par rapport au nantissement dont elle se prévalait alors. Elle avait ensuite produit dans la faillite pour l'intégralité de la créance invoquée en compensation alors que, à suivre son raisonnement, cette créance était éteinte par compensation. La chambre de surveillance a conclu que l'existence même d'une déclaration de compensation conforme à l' art. 124 al. 1 CO ne pouvait être admise sans réserve, à tout le moins jusqu'au dépôt de la plainte.</w:t>
      </w:r>
    </w:p>
    <w:p>
      <w:r>
        <w:rPr>
          <w:b/>
        </w:rPr>
        <w:t>E. 4</w:t>
      </w:r>
    </w:p>
    <w:p>
      <w:r>
        <w:t>En l'espèce, se plaignant de la violation de l' art. 213 LP , la recourante ne s'en prend qu'à la première des trois motivations alternatives de la décision attaquée, en reprochant à la chambre de surveillance de s'être écartée de la jurisprudence claire du Tribunal de céans selon laquelle la compensation d'une créance grevée d'une condition suspensive envers un débiteur failli est possible, même avant la survenance de l'événement futur et incertain, pour autant que la créance soit née antérieurement à la faillite. En revanche, elle ne s'en prend ni à la motivation selon laquelle sa conclusion en constatation de la compensation doit dans tous les cas être rejetée en tant qu'elle excède le pouvoir d'examen des autorités de poursuite, ni à celle selon laquelle elle n'a pas fait de déclaration de compensation conforme à l' art. 124 al. 1 CO . S'agissant de cette dernière motivation, la recourante, sans soulever de grief, se borne à affirmer, d'une part, qu'elle aurait valablement fait valoir la compensation par déclaration du 12 octobre 2015, alors que la chambre de surveillance a précisément retenu que cette déclaration était équivoque, et, d'autre part, que cette autorité aurait dans tous les cas admis que le dépôt de la plainte constitue une telle déclaration, alors qu'on comprend de la motivation de la décision attaquée qu'elle a au contraire jugé que, survenue à ce stade, cette déclaration n'était pas pertinente.</w:t>
      </w:r>
    </w:p>
    <w:p>
      <w:r>
        <w:t>Il suit de là que, ne répondant pas aux exigences de motivation de l' art. 42 al. 2 LTF , le recours doit être déclaré irrecevable (cf.</w:t>
      </w:r>
    </w:p>
    <w:p>
      <w:r>
        <w:t>supra consid. 2.1).</w:t>
      </w:r>
    </w:p>
    <w:p>
      <w:r>
        <w:rPr>
          <w:b/>
        </w:rPr>
        <w:t>E. 5</w:t>
      </w:r>
    </w:p>
    <w:p>
      <w:r>
        <w:t>A titre subsidiaire, il sied de relever que, même à supposer que le recours eût été recevable, celui-ci aurait dû être rejeté sur la question de la compensation des créances dans la faillite en lien avec laquelle la recourante se plaint de la violation de l' art. 213 LP . La motivation de l'autorité de surveillance et surtout l'argumentation de l'office, qui résume de manière correcte la jurisprudence fédérale, peuvent être intégralement reprises.</w:t>
      </w:r>
    </w:p>
    <w:p>
      <w:r>
        <w:t>En effet, la recourante fait une lecture erronée de la doctrine et des arrêts qu'elle cite, dont l'un d'eux ne traite au demeurant pas de la question de la réalisation de la condition à laquelle serait soumise une créance compensante ( ATF 107 III 139 ). Elle estime que, pour que le créancier ait le droit de compenser une créance soumise à condition contre celle que le failli a contre lui, il suffirait que cette créance soit née avant l'ouverture de la faillite; peu importerait en revanche que la condition ne se soit pas réalisée au moment où il exerce la compensation. Or, la jurisprudence fédérale ne va nullement dans ce sens. Elle admet la compensation de créances réciproques dans la faillite si elles sont nées l'une et l'autre avant l'ouverture de la faillite mais, lorsque l'une de ces créances est soumise à condition, consent alors à ce que cette condition ne s'accomplisse qu'après l'ouverture de la faillite. En d'autres termes, l' art. 213 al. 2 LP n'exclut la compensation qu'avec des obligations qui ont leur cause juridique dans des faits postérieurs au prononcé de la faillite. Il importe peu qu'à cette date, l'obligation ait été affectée d'une condition. Toutefois, il faut que celle-ci se réalise tant que la compensation est possible dans cette procédure ( ATF 107 III 25 consid. 3c; 106 III 114 consid. 3; 105 III 4 consid. 4b; 95 III 47 consid. 5; arrêt du 27 juin 1918 en la cause Konkursmasse J. Jost-Rüedi c. Stiffler, considérant non publié aux ATF 44 II 279 , mais</w:t>
      </w:r>
    </w:p>
    <w:p>
      <w:r>
        <w:t>in JdT 1919 I p. 113 [115] et</w:t>
      </w:r>
    </w:p>
    <w:p>
      <w:r>
        <w:t>in Pra 1918 n° 110 p. 258 [259]; 21 p. 872 consid. 3; cf. aussi GILLIÉRON, Commentaire de la loi fédérale sur la poursuite pour dettes et la faillite, Articles 159-270, 2001, n° 18 ad art. 213 LP ).</w:t>
      </w:r>
    </w:p>
    <w:p>
      <w:r>
        <w:t>Les auteurs qui opèrent une distinction entre les arrêts précités, en soutenant que le Tribunal fédéral aurait, aux ATF 21 p. 872 et 95 III 47, admis la compensation avec une créance conditionnelle même si la condition ne se réalise pas avant la clôture de la faillite, ne peuvent pas être suivis dans cette lecture (cf. SOGO, Zahlungsunfähigkeit im Vertragsverhältnis, 2015, p. 187 ss et les références). Ils ne tiennent au demeurant pas suffisamment compte dans leur analyse des ATF 107 III 25 et 106 III 114, plus récents. A l'ATF 21 fondateur, repris par la suite constamment dans la jurisprudence, le Tribunal fédéral a précisément admis la compensation de la créance " quand bien même la condition ne s'accomplirait qu'après l'ouverture de la faillite " (p. 875), " la compensation [ne pouvant être exclue] par ce seul motif que la condition ne s'est accomplie qu'après l'ouverture de la faillite " (p. 879). A l'ATF 95, le Tribunal fédéral n'a en rien modifié ce principe, affirmant même que, au contraire, le créancier ne pouvait pas s'en prévaloir, étant donné que, en l'espèce, il ne bénéficiait, au moment de l'ouverture de la faillite, même pas d'une quelconque créance conditionnelle, mais d'une simple expectative de l'acquisition d'une créance hypothécaire contre le débiteur (consid. 5).</w:t>
      </w:r>
    </w:p>
    <w:p>
      <w:r>
        <w:t>En l'espèce, la recourante reconnaît elle-même que la condition à laquelle sa créance est soumise n'est pas réalisée. Il suit de là que son grief n'aurait pu être que rejeté.</w:t>
      </w:r>
    </w:p>
    <w:p>
      <w:r>
        <w:rPr>
          <w:b/>
        </w:rPr>
        <w:t>E. 6</w:t>
      </w:r>
    </w:p>
    <w:p>
      <w:r>
        <w:t>En définitive, le recours doit être déclaré irrecevable, aux frais de son auteur qui succombe ( art. 66 al. 1 LTF ). Il n'y a pas lieu d'accorder de dépens à la masse en faillite, représentée par l'office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