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5A_176/2012 vom 13. März 2012</w:t>
      </w:r>
    </w:p>
    <w:p>
      <w:r>
        <w:t>Bundesgericht, 2012-03-13, DE</w:t>
      </w:r>
    </w:p>
    <w:p>
      <w:r>
        <w:rPr>
          <w:b/>
        </w:rPr>
        <w:t xml:space="preserve">Quelle: </w:t>
      </w:r>
      <w:r>
        <w:t>https://mcp.opencaselaw.ch/entscheid/bger_5A_176_2012</w:t>
      </w:r>
    </w:p>
    <w:p>
      <w:r>
        <w:t>FR: TF 5A_176/2012 du 13 mars 2012</w:t>
      </w:r>
    </w:p>
    <w:p>
      <w:r>
        <w:t>IT: TF 5A_176/2012 del 13 marzo 2012</w:t>
      </w:r>
    </w:p>
    <w:p>
      <w:pPr>
        <w:pStyle w:val="Heading2"/>
      </w:pPr>
      <w:r>
        <w:t>Erwägungen</w:t>
      </w:r>
    </w:p>
    <w:p>
      <w:r>
        <w:rPr>
          <w:b/>
        </w:rPr>
        <w:t>E. 1.1</w:t>
      </w:r>
    </w:p>
    <w:p>
      <w:r>
        <w:t>Angefochten ist ein letztinstanzlicher kantonaler Endentscheid ( Art. 75 Abs. 1 und Art. 90 BGG ) betreffend fürsorgerische Freiheitsentziehung. Er betrifft eine öffentlich-rechtliche Angelegenheit, die in engem Zusammenhang mit dem Zivilrecht steht und demzufolge mit Beschwerde in Zivilsachen beim Bundesgericht angefochten werden kann (Art. 72 Abs. 2 lit. b Ziff. 6 BGG). Die begründete Ausfertigung des angefochtenen Urteils ist dem Beschwerdeführer am 24. Februar 2012 zugestellt worden, womit die am 26. Februar 2012 eingereichte Beschwerde rechtzeitig erfolgt ist.</w:t>
      </w:r>
    </w:p>
    <w:p>
      <w:r>
        <w:rPr>
          <w:b/>
        </w:rPr>
        <w:t>E. 1.2</w:t>
      </w:r>
    </w:p>
    <w:p>
      <w:r>
        <w:t>In der Beschwerde ist in Auseinandersetzung mit den Erwägungen des angefochtenen Entscheids darzulegen, welche Rechte der beschwerdeführenden Partei durch das kantonale Gericht verletzt worden sind ( Art. 42 Abs. 2 BGG ; BGE 134 II 244 E. 2.1 S. 245).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Auf die Beschwerde ist nicht einzutreten, soweit sie sich gegen die Einweisung durch Dr. Y.________ vom 10. Februar 2012 richtet. Diese Verfügung wurde durch jene der stellvertretenden Regierungsstatthalterin vom 13. Februar 2012 ersetzt, womit der Beschwerdeführer zwecks Begutachtung in Anwendung von Art. 397a Abs. 1 ZGB zurückbehalten worden ist. An der Überprüfung der Einweisung vom 10. Februar 2012 besteht damit kein schützenswertes Interesse ( Art. 76 Abs. 1 lit. b BGG ; BGE 136 III 497 ).</w:t>
      </w:r>
    </w:p>
    <w:p>
      <w:r>
        <w:rPr>
          <w:b/>
        </w:rPr>
        <w:t>E. 3.1</w:t>
      </w:r>
    </w:p>
    <w:p>
      <w:r>
        <w:t>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siehe zum Ganzen: BGE 134 III 289 E. 4). Die in Art. 397a Abs. 1 ZGB enthaltene Aufzählung der Schwächezustände ist abschliessend (BBl 1977 III 26 Ziff. 212.2). Insbesondere sieht das Gesetz keine fürsorgerische Freiheitsentziehung allein wegen Fremdgefährdung vor (vgl. dazu insbesondere auch EUGEN SPIRIG, Zürcher Kommentar, N. 340 zu Art. 397a ZGB ; THOMAS GEISER, Basler Kommentar Zivilgesetzbuch I, 4. Aufl. 2010, N. 26 zu Art. 397a ZGB ).</w:t>
      </w:r>
    </w:p>
    <w:p>
      <w:r>
        <w:rPr>
          <w:b/>
        </w:rPr>
        <w:t>E. 3.2</w:t>
      </w:r>
    </w:p>
    <w:p>
      <w:r>
        <w:t>Nach der Rechtsprechung des Bundesgerichts ist eine Einweisung zwecks Begutachtung der betroffenen Person mit Art. 397a Abs. 1 ZGB ausnahmsweise vereinbar, soweit eine fürsorgerische Freiheitsentziehung ernsthaft in Betracht gezogen werden kann, aber wichtige Grundlagen für einen definitiven Einweisungsentscheid fehlen. Die Einweisung zu diesem Zweck kommt nur infrage, wenn die Krankheitsursache des bereits festgestellten Verhaltens der betroffenen Person nur im Rahmen eines Aufenthalts in einer psychiatrischen Klinik sorgfältig abgeklärt werden kann. Die lediglich zur stationären Begutachtung eingewiesene Person darf nicht länger gegen ihren Willen in der Anstalt zurückbehalten werden, als dies zur Begutachtung erforderlich ist (Urteile 5A_36/2011 vom 24. Januar 2011 E. 2.1; 5A_250/2010 vom 14. April 2010 E. 2.3; 5A_668/2010 14. Oktober 2010 E. 3.1).</w:t>
      </w:r>
    </w:p>
    <w:p>
      <w:r>
        <w:rPr>
          <w:b/>
        </w:rPr>
        <w:t>E. 3.3</w:t>
      </w:r>
    </w:p>
    <w:p>
      <w:r>
        <w:t>Den Akten und dem angefochtenen Entscheid lässt sich in tatsächlicher Hinsicht entnehmen, dass der Beschwerdeführer bereits seit einiger Zeit durch versteckte Drohungen und Provokationen auffällt. Er wandte sich in zahlreichen Mails, Schreiben und Beschwerden an das Regierungsstatthalteramt, die Sozialen Dienste Biel, die Regionale Arbeitsvermittlungsstelle (RAV), das Verwaltungsgericht des Kantons Bern sowie an diverse andere Behörden und behauptete, verschiedene Leute in Behörden von Biel seien pädophil und in Kinderschänderkreisen tätig; die Behörden seien durch diverse Gruppen unterwandert und er müsse "für Ordnung schauen"; er sei im Auftrag Gottes unterwegs, um diese Missstände "aufzuräumen". Im Zusammenhang mit diesen Anschuldigungen und Denunziationen kam es am 7. Februar 2012 anlässlich eines vom Beschwerdeführer verlangten Gesprächs mit dem Regierungsstatthalter nach kurzer Zeit zu einer verbalen Auseinandersetzung, die später in eine tätliche Auseinandersetzung ausartete; dabei versetzte X.________ dem Regierungsstatthalter einen "Nasenstüber". Nach dem Bericht der leitenden Ärztin der Psychiatrischen Dienste Biel-Seeland, welche am 10. Februar 2012 die Einweisung des Beschwerdeführers verfügte, besteht der Verdacht auf eine wahnhafte Störung (ICD-10; F22) mit ausgeprägtem Wahnsystem. Der Beschwerdeführer bezeichnet sich als gesund.</w:t>
      </w:r>
    </w:p>
    <w:p>
      <w:r>
        <w:t>Der Beschwerdeführer begnügt sich im Wesentlichen damit, die tatsächlichen Feststellungen des Obergerichts infrage zu stellen bzw. zu bestreiten. Das betrifft insbesondere seine Behauptung, er sei gesund. Das Obergericht ist jedoch mit Frau Dr. Y.________ von einem Verdacht auf eine wahnhafte Störung (ICD-10; F22) mit ausgeprägtem Wahnsystem ausgegangen. Sodann behauptet er, er sei vom Regierungsstatthalter angegriffen worden, was das Obergericht indes als unglaubwürdig erachtet hat. Inwiefern in diesem Zusammenhang eine willkürliche Feststellung des Sachverhalts gegeben sein könnte, wird nicht erörtert. In einer blossen Bestreitung des vom Obergericht angenommenen Sachverhalts erschöpft sich schliesslich auch der Inhalt der Replik vom 7. März 2012. Auf all diese Ausführungen kann nicht eingetreten werden.</w:t>
      </w:r>
    </w:p>
    <w:p>
      <w:r>
        <w:rPr>
          <w:b/>
        </w:rPr>
        <w:t>E. 3.4</w:t>
      </w:r>
    </w:p>
    <w:p>
      <w:r>
        <w:t>Nach den für das Bundesgericht verbindlichen tatsächlichen Feststellungen ( Art. 105 Abs. 1 BGG ) verhält sich der Beschwerdeführer sehr auffällig; eine Beeinträchtigung der geistigen Gesundheit ist naheliegend, sodass eine fürsorgerische Freiheitsentziehung ernsthaft als Massnahme in Betracht gezogen werden kann. Der Beschwerdeführer bezeichnet sich als gesund; daher besteht trotz des anlässlich der Verhandlung vor der Rekurskommission gestellten Antrages, es sei eventuell eine ambulante Begutachtung anzuordnen, keine Gewähr dafür, dass er sich einer entsprechenden Massnahme auch tatsächlich freiwillig unterzieht. Zudem ist eine genaue Abklärung der tatsächlichen Voraussetzungen für die Anordnung einer fürsorgerischen Freiheitsentziehung erforderlich. Unter diesen Umständen ist die Einweisung zwecks Begutachtung unumgänglich. Der angefochtene Entscheid verletzt somit kein Bundesrecht, soweit er sich auf die Verfügung vom 13. Februar 2012 bezieht.</w:t>
      </w:r>
    </w:p>
    <w:p>
      <w:r>
        <w:rPr>
          <w:b/>
        </w:rPr>
        <w:t>E. 4</w:t>
      </w:r>
    </w:p>
    <w:p>
      <w:r>
        <w:t>Das einzuholende Gutachten hat es dem Gericht zu ermöglichen, die sich aus Art. 397a Abs. 1 ZGB ergebenden Rechtsfragen zu beantworten ( BGE 137 III 289 E. 4.5). So hat es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Wird aufgrund der vorgenannten gutachterlichen Abklärungen die Zurückbehaltung in einer Anstalt als notwendig erachtet, hat der Experte schliesslich zu beantworten, ob eine Anstalt zur Verfügung steht, die für die Behandlung bzw. Betreuung der betroffenen Person infrage kommt (siehe zum Ganzen BGE 137 III 289 E. 4.5).</w:t>
      </w:r>
    </w:p>
    <w:p>
      <w:r>
        <w:rPr>
          <w:b/>
        </w:rPr>
        <w:t>E. 5</w:t>
      </w:r>
    </w:p>
    <w:p>
      <w:r>
        <w:t>Damit ist die Beschwerde abzuweisen, soweit darauf eingetreten werden kann.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