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5A_175/2010 vom 25. Mai 2010</w:t>
      </w:r>
    </w:p>
    <w:p>
      <w:r>
        <w:t>Bundesgericht, 2010-05-25, FR</w:t>
      </w:r>
    </w:p>
    <w:p>
      <w:r>
        <w:rPr>
          <w:b/>
        </w:rPr>
        <w:t xml:space="preserve">Quelle: </w:t>
      </w:r>
      <w:r>
        <w:t>https://mcp.opencaselaw.ch/entscheid/bger_5A_175_2010</w:t>
      </w:r>
    </w:p>
    <w:p>
      <w:r>
        <w:t>FR: TF 5A_175/2010 du 25 mai 2010</w:t>
      </w:r>
    </w:p>
    <w:p>
      <w:r>
        <w:t>IT: TF 5A_175/2010 del 25 maggio 2010</w:t>
      </w:r>
    </w:p>
    <w:p>
      <w:pPr>
        <w:pStyle w:val="Heading2"/>
      </w:pPr>
      <w:r>
        <w:t>Erwägungen</w:t>
      </w:r>
    </w:p>
    <w:p>
      <w:r>
        <w:rPr>
          <w:b/>
        </w:rPr>
        <w:t>E. 1</w:t>
      </w:r>
    </w:p>
    <w:p>
      <w:r>
        <w:t>Le Tribunal fédéral examine d'office la recevabilité des recours qui lui sont soumis ( ATF 134 III 115 consid. 1 p. 117).</w:t>
      </w:r>
    </w:p>
    <w:p>
      <w:r>
        <w:rPr>
          <w:b/>
        </w:rPr>
        <w:t>E. 1.1</w:t>
      </w:r>
    </w:p>
    <w:p>
      <w:r>
        <w:t>Le recours en matière civile est ouvert contre les décisions en matière de poursuite pour dettes et de faillite ( art. 72 al. 2 let. a LTF ). Déposé en temps utile ( art. 100 al. 1 LTF ) contre une décision finale ( art. 90 LTF ) prise en dernière instance cantonale ( art. 75 al. 1 LTF ), dans une affaire pécuniaire dont la valeur litigieuse est supérieure à 30'000 fr. ( art. 74 al. 1 let. b LTF ), le présent recours est recevable au regard de ces dispositions.</w:t>
      </w:r>
    </w:p>
    <w:p>
      <w:r>
        <w:rPr>
          <w:b/>
        </w:rPr>
        <w:t>E. 1.2</w:t>
      </w:r>
    </w:p>
    <w:p>
      <w:r>
        <w:t>Si, pour une partie des griefs recevables devant le Tribunal fédéral, la décision d'un tribunal cantonal supérieur peut être déférée à une autre autorité judiciaire cantonale, cette décision n'est pas de dernière instance pour ce qui concerne les questions susceptibles de ce recours cantonal; faute d'épuisement des voies de recours, elles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w:t>
      </w:r>
    </w:p>
    <w:p>
      <w:r>
        <w:t>En procédure civile vaudoise, le jugement rendu par la Cour civile du Tribunal cantonal peut faire l'objet d'un recours en nullité auprès de la Chambre des recours du Tribunal cantonal - voie de recours d'ailleurs indiquée au bas du jugement querellé -, en particulier pour violation des règles essentielles de la procédure (art. 444 al. 1 ch. 3 du code de procédure civile du canton de Vaud du 14 décembre 1966 [CPC/VD]). A teneur de l' art. 444 al. 2 CPC /VD,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(ancien art. 43 OJ ), il pouvait l'être dans le recours en nullité cantonal (JT 2001 III 128). La loi fédérale sur le Tribunal fédéral, entrée en vigueur le 1er janvier 2007, a remplacé le recours en réforme par le recours en matière civile (cf. art. 72 ss LTF ); dans ce nouveau recours, le grief de la violation de l'interdiction constitutionnelle de l'arbitraire est recevable ( art. 95 LTF ; ATF 133 III 446 consid. 3.1 p. 447, 462 consid. 2.3 p. 466). L' art. 444 al. 2 CPC /VD n'a pas été modifié avec l'introduction de la LTF et il faut en déduire que seuls les griefs qui pouvaient donner lieu à l'ancien recours en réforme sont exclus du recours en nullité. Il en découle que les griefs d'arbitraire dans l'appréciation des preuves et de violation du droit de procédure cantonal demeurent recevables dans le cadre d'un recours en nullité cantonal (cf. arrêt 4A_17/2009 du 14 avril 2009 consid. 1.2; arrêt 4A_531/2007 du 5 mars 2008 consid. 2.2). En l'espèce, dans la mesure où il est formé, non pour ces motifs, mais pour violation du droit fédéral, le recours apparaît recevable.</w:t>
      </w:r>
    </w:p>
    <w:p>
      <w:r>
        <w:rPr>
          <w:b/>
        </w:rPr>
        <w:t>E. 1.3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Le recourant critique la révocation de la compensation relative au coût des travaux, ainsi que les conséquences de la révocation - non contestée sur le principe - des nouveaux contrats de bail. Il convient d'examiner successivement ces questions (cf. infra, consid. 3 et 4).</w:t>
      </w:r>
    </w:p>
    <w:p>
      <w:r>
        <w:rPr>
          <w:b/>
        </w:rPr>
        <w:t>E. 3.1</w:t>
      </w:r>
    </w:p>
    <w:p>
      <w:r>
        <w:t>La cour cantonale a révoqué la compensation relative au coût des travaux sur la base de l' art. 287 al. 1 ch. 3 LP . Elle a considéré que tant la condition objective du surendettement que la condition subjective de sa connaissance par le bénéficiaire de l'acte sont réunies. Il est établi que le règlement de la dette par compensation est intervenu le 2 juillet 2002, soit moins d'un mois avant la faillite de la société; la condition du délai d'un an avant la faillite est donc également remplie. Enfin, les juges précédents ont admis que la dette acquittée par la société en compensation du coût des travaux n'était pas exigible et que cet acte lui avait causé un préjudice. En effet, le 2 juillet 2002, le défendeur était titulaire d'une créance de 12'000'000 fr. en capital; toutefois, selon l'expert mis en oeuvre, la situation de la société à cette date excluait tout remboursement, même partiel, des prêts consentis et la créance du défendeur n'avait plus aucune valeur à cette date. Dès lors, en remboursant les investissements consentis par la société en débitant les prêts d'actionnaire, les travaux ne coûtaient rien au défendeur et celui-ci empêchait la société de faire valoir une créance contre lui.</w:t>
      </w:r>
    </w:p>
    <w:p>
      <w:r>
        <w:t>Toujours sur la question du préjudice, la cour cantonale a admis que la créance du défendeur pouvait, a priori, être compensée avec celle que la société détenait à son encontre, sur la base de l' art. 213 al. 1 LP , dont les conditions étaient remplies. Toutefois, se référant à Dallèves (L'actionnaire créancier, in La société anonyme dans ses rapports avec ses actionnaires, Cedidac n° 43, Lausanne 2001, p. 40), elle a relevé que les prêts d'actionnaires permettent de manipuler la relation entre les fonds empruntés et les fonds propres au détriment des créanciers sociaux; plus une société est financièrement dans une situation difficile, plus les actionnaires ont une tendance naturelle à lui accorder sous forme de prêt, plutôt que par un apport en capital, les fonds supplémentaires dont elle a besoin. Selon cet auteur, de tels prêts peuvent constituer un cas de révocation. La cour cantonale a constaté que, en l'espèce, la part de la créance cédée non postposée a été écartée par l'administration de la faillite, qui a considéré qu'il s'agissait d'un prêt d'actionnaire destiné à remplacer des fonds propres. Selon les juges précédents, il n'y a aucune raison que le montant de 1'312'720 fr. ait été accueilli différemment par la masse, de sorte que l'on doit admettre que l'opération dont la révocation est demandée a effectivement porté préjudice aux créanciers. Sans l'opération de remboursement des frais par réduction du prêt, le défendeur se serait retrouvé débiteur de la société de ce montant, sans que sa créance du même montant ne soit admise à l'état de collocation. Il en résulte que le lien de causalité entre l'acte révocable et le préjudice est également donné.</w:t>
      </w:r>
    </w:p>
    <w:p>
      <w:r>
        <w:t>Enfin, la cour cantonale a estimé que la compensation relative au coût des travaux aurait également pu être révoquée en application de l' art. 288 LP , les conditions objectives de cet article, moins restrictives que celles de la lex specialis de l' art. 287 al. 1 ch. 3 LP étant remplies, de même que la condition subjective, pour des motifs similaires à ceux exposés au sujet du contrat de bail (cf. infra, consid. 4.1).</w:t>
      </w:r>
    </w:p>
    <w:p>
      <w:r>
        <w:rPr>
          <w:b/>
        </w:rPr>
        <w:t>E. 3.2</w:t>
      </w:r>
    </w:p>
    <w:p>
      <w:r>
        <w:t>Le recourant fait grief à la cour cantonale d'avoir révoqué l'imputation du prix des travaux sur ses prêts sous prétexte que ceux-ci n'étaient pas exigibles. Il soutient que ces prêts étaient, au contraire, exigibles, dans la mesure où ils n'auraient pas fait l'objet d'une prolongation tacite, et se plaint d'une violation des art. 287 al. 1 ch. 3 LP et 318 CO. En outre, il fait valoir que l' art. 287 LP exige un préjudice effectif, dont les premiers juges auraient à tort admis l'existence. Selon lui, il était en droit de compenser ses prétentions avec celles de la faillie en vertu des art. 123 al. 1 CO et 213 al. 1 LP, car il aurait pu déclarer la compensation à la masse en faillite une fois la faillite intervenue et ceci dans les délais de production, voire dans le délai de l' art. 251 LP ; la déclaration de compensation du 2 juillet 2002 ne pouvait donc pas diminuer le résultat de la procédure d'exécution forcée par rapport à une déclaration de compensation ultérieure contre la masse en faillite. Enfin, le recourant conteste que son prêt d'actionnaire doive être écarté de l'état de collocation pour le motif qu'il constituerait un abus de droit du seul fait du surendettement, le droit n'imposant pas de ratio entre les fonds propres et les fonds étrangers.</w:t>
      </w:r>
    </w:p>
    <w:p>
      <w:r>
        <w:rPr>
          <w:b/>
        </w:rPr>
        <w:t>E. 3.3.1</w:t>
      </w:r>
    </w:p>
    <w:p>
      <w:r>
        <w:t>Il résulte de l'arrêt entrepris que le 2 juillet 2002, B.________ SA a adressé au recourant une facture relative aux travaux de transformation effectués dans les locaux loués pour un montant de 1'312'720 fr. Sous la rubrique paiement de la facture, il est mentionné que "ledit montant sera déduit de votre prêt chez nous". Ainsi, le recourant a acquitté la somme de 1'312'720 fr. par compensation partielle avec ses créances envers la société. Vu cette facture, on est en présence d'une compensation exercée par acte formateur unilatéral du recourant; celle-ci a été acceptée par la société, qui a porté le montant en déduction du prêt d'actionnaire dans ses comptes. Il convient par conséquent d'examiner si le recourant était en droit de compenser sa créance avec celle que la société peut avoir contre lui ( art. 213 LP ).</w:t>
      </w:r>
    </w:p>
    <w:p>
      <w:r>
        <w:rPr>
          <w:b/>
        </w:rPr>
        <w:t>E. 3.3.2</w:t>
      </w:r>
    </w:p>
    <w:p>
      <w:r>
        <w:t>L' art. 213 LP doit être lu en parallèle avec l' art. 214 LP . Le premier fixe les conditions auxquelles la compensation est possible dans la faillite (al. 1), respectivement est exclue (al. 2). Le second prévoit la possibilité pour la masse de contester la compensation si l'acquisition de la créance compensante est intervenue avant l'ouverture de la faillite mais en vue de permettre une compensation dans le cadre de celle-ci (Jeanneret, Commentaire romand, Poursuite et faillite, 2005, n° 1 ad art. 213 LP ; Stäubli/Dubacher, in Kommentar zum Bundesgesetz über Schuldbetreibung und Konkurs, vol. 2, n° 1 ss ad art. 213 LP ).</w:t>
      </w:r>
    </w:p>
    <w:p>
      <w:r>
        <w:t>Selon l' art. 213 al. 1 LP , le créancier a le droit de compenser sa créance avec celle que le failli peut avoir contre lui. Le principe général est donc que la compensation est permise dans la faillite, même si elle a des conséquences défavorables pour la masse. La compensation est facilitée de deux manières: d'une part, la faillite rend exigible les dettes du failli ( art. 208 LP ), ce qui facilite la compensation ( art. 123 al. 1 CO ); d'autre part, les créances en nature sont transformées en créances pécuniaires ( art. 211 al. 1 LP ). La compensation est avantageuse pour le créancier qui l'invoque puisqu'elle lui permet d'échapper au dividende et aux classes de l' art. 219 LP . Afin d'éviter des manoeuvres déloyales des créanciers ou des débiteurs de la masse qui chercheraient des moyens pour opposer la compensation et bénéficier ainsi d'un avantage injustifié par rapport à l'ensemble des créanciers, les art. 213 al. 2, 3 et 4 LP et 214 LP limitent les possibilités de compenser. L' art. 213 al. 2 LP exclut la compensation lorsque la créance ou la dette opposée en compensation (créance compensante) a été acquise après l'ouverture de la faillite, alors que les al. 3 et 4 visent des types de créances spéciales. L' art. 214 LP permet la révocation de la compensation lorsque le débiteur du failli a acquis, avant l'ouverture de la faillite, mais ayant connaissance de l'insolvabilité de son créancier, une créance contre lui, en vue de se procurer ou de procurer à un tiers, au moyen de la compensation, un avantage au préjudice de la masse.</w:t>
      </w:r>
    </w:p>
    <w:p>
      <w:r>
        <w:rPr>
          <w:b/>
        </w:rPr>
        <w:t>E. 3.3.3</w:t>
      </w:r>
    </w:p>
    <w:p>
      <w:r>
        <w:t>La compensation obéit aux règles des art. 120 ss CO , en particulier de l' art. 120 al. 1 CO . Pour éteindre sa dette (créance compensée), celui qui exerce la compensation doit être titulaire d'une créance (créance compensante) exigible de même espèce, dont la compensation n'est exclue ni par la loi ( art. 213 al. 2, 3 et 4 LP ), ni par convention. Il arrive en pratique que cette exclusion soit liée à une convention de postposition aux fins d'éviter l'avis au juge selon l' art. 725 al. 2 CO (JEANNERET, op. cit., nos 10 et 11 ad art. 213 LP ).</w:t>
      </w:r>
    </w:p>
    <w:p>
      <w:r>
        <w:t>En l'espèce, la compensation est exercée par l'actionnaire majoritaire au moyen d'un prêt qu'il avait consenti à la société. Compte tenu de cette situation particulière, il y a lieu d'examiner si le montant figurant au bilan de la société sous la rubrique "prêt actionnaire" doit être considéré comme des fonds étrangers - auquel cas l'actionnaire est titulaire de la créance correspondante et peut exercer la compensation au moyen de celle-ci - ou comme des fonds propres de la société - auquel cas l'actionnaire n'est titulaire d'aucune créance au moyen de laquelle exercer la compensation.</w:t>
      </w:r>
    </w:p>
    <w:p>
      <w:r>
        <w:rPr>
          <w:b/>
        </w:rPr>
        <w:t>E. 3.3.4</w:t>
      </w:r>
    </w:p>
    <w:p>
      <w:r>
        <w:t>Dans la société anonyme, en vertu du principe de la dualité juridique existant entre la société et son actionnaire, les créances chirographaires de l'actionnaire majoritaire sont en principe considérées comme des fonds étrangers et portées comme tels au bilan ( art. 663a CO ; à propos de la société anonyme immobilière, cf. ATF 121 III 319 consid. 5a/aa p. 321).</w:t>
      </w:r>
    </w:p>
    <w:p>
      <w:r>
        <w:t>Le principe de la dualité juridique n'est toutefois pas absolu. Selon une jurisprudence bien établie,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ATF 121 III 319 consid. 5 a/aa p. 321; 102 III 165 consid. II/1 p. 169/170, 72 II 67 consid. 3c p. 76 et les arrêts cités; cf. également ATF 112 II 503 consid. 3b p. 506; 108 II 213 consid. 6a p. 214 et les références).</w:t>
      </w:r>
    </w:p>
    <w:p>
      <w:r>
        <w:rPr>
          <w:b/>
        </w:rPr>
        <w:t>E. 3.3.5</w:t>
      </w:r>
    </w:p>
    <w:p>
      <w:r>
        <w:t>En l'espèce, il résulte des constatations de fait de la cour cantonale que le recourant était actionnaire majoritaire de la société. A la fin de l'année 1999, aucun prêt d'actionnaire n'était porté au bilan. A la fin de l'année 2000, son prêt d'actionnaire s'élevait à 7'549'085 fr. 50 et, à la fin de l'année 2001, à 12'358'291 fr. 50. Lors de la clôture des comptes de l'année 2001, faisant état d'une perte de 6'398'892 fr. 19, le recourant a accepté de postposer sa créance de prêt à hauteur de 6'500'000 fr., afin d'éviter de devoir aviser le juge conformément à l' art. 725 al. 2 CO . Le 30 juin 2002, le prêt d'actionnaire s'élevait à 12'661'489 fr. 81; or, alors que la perte avait encore augmenté de 9'460'929 fr. 81, au lieu de postposer à nouveau sa créance de prêt, le recourant s'est prévalu de la compensation et s'est ainsi, en quelque sorte, remboursé son propre prêt, au détriment des autres créanciers.</w:t>
      </w:r>
    </w:p>
    <w:p>
      <w:r>
        <w:t>Bien que les travaux aient été exécutés en 2000 et 2001, la facture de 1'312'720 fr. a été émise le 2 juillet 2002. Elle est libellée de telle sorte qu'il est déjà pris en compte que le paiement doit s'effectuer par diminution du prêt. Il est donc manifeste que le recourant et la société ne font qu'un: avant même que la facture ne lui soit parvenue, le recourant a déjà exercé la compensation et la société a admis ce mode de faire. Par cette opération, la société a été appauvrie d'un montant de 1'312'720 fr. quelques semaines avant le prononcé de sa faillite, qui était déjà prévisible au 30 juin 2002 vu la perte réalisée au cours du premier semestre 2002. Parallèlement, le recourant a augmenté le loyer des baux de la société dont il était propriétaire. Il y a dès lors lieu d'admettre que l'identité économique entre l'actionnaire et la société doit l'emporter sur leur existence formelle et que, par conséquent, le recourant ne peut se prévaloir d'aucune créance compensante pour éteindre sa dette relative aux travaux effectués dans son immeuble, le prêt d'actionnaire étant en réalité des fonds propres de la société.</w:t>
      </w:r>
    </w:p>
    <w:p>
      <w:r>
        <w:t>Le recours doit donc être rejeté par substitution de motifs (cf. supra, consid. 1.3), en tant qu'il concerne la condamnation du recourant à payer à l'intimée le prix des travaux effectués, par 1'312'720 fr.</w:t>
      </w:r>
    </w:p>
    <w:p>
      <w:r>
        <w:rPr>
          <w:b/>
        </w:rPr>
        <w:t>E. 4.1</w:t>
      </w:r>
    </w:p>
    <w:p>
      <w:r>
        <w:t>S'agissant des nouveaux contrats de bail signés le 2 juillet 2002, les premiers juges ont prononcé leur révocation sur la base de l' art. 288 LP . Ils ont considéré que ces nouveaux contrats offraient au recourant un avantage mensuel de 13'157 fr. 50. En outre, l'acte dont la révocation est demandée est intervenu entre une société et son administrateur-président, actionnaire majoritaire titulaire de la signature individuelle; il ne fait aucun doute que, en usant de l'attention commandée par les circonstances, celui-ci pouvait et devait prévoir que l'acte aurait pour conséquence naturelle de porter préjudice aux créanciers de la société, respectivement de l'avantager au détriment des autres. La condition subjective, à savoir l'intention dolosive du débiteur, reconnaissable pour l'autre partie, est donc remplie.</w:t>
      </w:r>
    </w:p>
    <w:p>
      <w:r>
        <w:rPr>
          <w:b/>
        </w:rPr>
        <w:t>E. 4.2</w:t>
      </w:r>
    </w:p>
    <w:p>
      <w:r>
        <w:t>Le recourant ne conteste pas la révocation des nouveaux contrats de bail, mais ses conséquences, à savoir sa condamnation au paiement à l'intimée du montant de 13'157 fr. 50, correspondant à l'augmentation du loyer du mois de juillet 2002. Il soutient que, conformément à l' art. 291 al. 1 LP , lorsque l'acte révocable comporte un paiement indu en monnaie de pays, comme c'est le cas en l'espèce, le bénéficiaire doit restituer ce qu'il a reçu en monnaie du pays. Or, le jugement entrepris ne contiendrait aucun élément permettant d'apporter la preuve du paiement en mains du recourant d'un montant de 13'157 fr. 50 à titre de loyer pour le mois de juillet 2002. Au contraire, il ressortirait de l'état de fait du jugement attaqué que l'intimée a reconnu le 24 mars 2004 lui devoir une somme de 607'087 fr. 40 à titre de loyers pour les mois de juillet 2001 à juillet 2002. N'ayant touché aucun paiement sur la base des baux révoqués, le recourant ne saurait être astreint à restituer quelque montant que ce soit.</w:t>
      </w:r>
    </w:p>
    <w:p>
      <w:r>
        <w:rPr>
          <w:b/>
        </w:rPr>
        <w:t>E. 4.3</w:t>
      </w:r>
    </w:p>
    <w:p>
      <w:r>
        <w:t>Il résulte en réalité du jugement attaqué à cet égard que, conformément à l'acte de cession signé le 1er novembre 2002 par le recourant en faveur des employés de sa société, le loyer du mois de juillet 2002, qui était dû au recourant, doit être versé à D.________. Il ne peut donc pas se prévaloir du fait que le montant de l'augmentation n'aurait pas été versé en ses mains, la cession constituant - comme l'a retenu la cour cantonale - une res inter alios acta ne concernant pas l'intimée. Pour le surplus, il ne soutient pas avoir allégué et prouvé que l'augmentation du mois de juillet 2002, de 13'157 fr. 50, ne serait, par hypothèse, pas comprise dans la somme de 607'087 fr. 40 qui doit être versée aux employés. Partant, son grief est infondé.</w:t>
      </w:r>
    </w:p>
    <w:p>
      <w:r>
        <w:rPr>
          <w:b/>
        </w:rPr>
        <w:t>E. 5</w:t>
      </w:r>
    </w:p>
    <w:p>
      <w:r>
        <w:t>Vu ce qui précède, le recours est rejeté. Le recourant, qui succombe, supportera les frais judiciaires ( art. 66 al. 1 LTF ). L'intimée, qui n'a pas été invitée à se déterminer sur le fond et qui s'en est remise à justice quant à l'octroi de l'effet suspensif,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