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5A_174/2025 vom 4. März 2025</w:t>
      </w:r>
    </w:p>
    <w:p>
      <w:r>
        <w:t>Bundesgericht, 2025-03-04, DE</w:t>
      </w:r>
    </w:p>
    <w:p>
      <w:r>
        <w:rPr>
          <w:b/>
        </w:rPr>
        <w:t xml:space="preserve">Quelle: </w:t>
      </w:r>
      <w:r>
        <w:t>https://mcp.opencaselaw.ch/entscheid/bger_5A_174_2025</w:t>
      </w:r>
    </w:p>
    <w:p>
      <w:r>
        <w:t>FR: TF 5A_174/2025 du 4 mars 2025</w:t>
      </w:r>
    </w:p>
    <w:p>
      <w:r>
        <w:t>IT: TF 5A_174/2025 del 4 marzo 2025</w:t>
      </w:r>
    </w:p>
    <w:p>
      <w:pPr>
        <w:pStyle w:val="Heading2"/>
      </w:pPr>
      <w:r>
        <w:t>Erwägungen</w:t>
      </w:r>
    </w:p>
    <w:p>
      <w:r>
        <w:rPr>
          <w:b/>
        </w:rPr>
        <w:t>E. 1</w:t>
      </w:r>
    </w:p>
    <w:p>
      <w:r>
        <w:t>Beschwerdegegenstand bildet ein kantonal letztinstanzlicher Entscheid über die aufschiebende Wirkung ( Art. 72 Abs. 1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 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w:t>
      </w:r>
    </w:p>
    <w:p>
      <w:r>
        <w:rPr>
          <w:b/>
        </w:rPr>
        <w:t>E. 2</w:t>
      </w:r>
    </w:p>
    <w:p>
      <w:r>
        <w:t>Die Beschwerdeführerin äussert sich nicht zu den besonderen Anfechtungsvoraussetzungen von Art. 93 Abs. 1 BGG und sie erhebt in Bezug auf die Frage der Erteilung der aufschiebenden Wirkung im kantonalen Beschwerdeverfahren auch keine Verfassungsrügen. Vielmehr beklagt sie sich in appellatorischer Weise über die neue Beiständin und über den durch die Beistandschaft angeblich entstehenden grossen Schaden.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