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5A_174/2024 vom 15. März 2024</w:t>
      </w:r>
    </w:p>
    <w:p>
      <w:r>
        <w:t>Bundesgericht, 2024-03-15, DE</w:t>
      </w:r>
    </w:p>
    <w:p>
      <w:r>
        <w:rPr>
          <w:b/>
        </w:rPr>
        <w:t xml:space="preserve">Quelle: </w:t>
      </w:r>
      <w:r>
        <w:t>https://mcp.opencaselaw.ch/entscheid/bger_5A_174_2024</w:t>
      </w:r>
    </w:p>
    <w:p>
      <w:r>
        <w:t>FR: TF 5A_174/2024 du 15 mars 2024</w:t>
      </w:r>
    </w:p>
    <w:p>
      <w:r>
        <w:t>IT: TF 5A_174/2024 del 15 marzo 2024</w:t>
      </w:r>
    </w:p>
    <w:p>
      <w:pPr>
        <w:pStyle w:val="Heading2"/>
      </w:pPr>
      <w:r>
        <w:t>Erwägungen</w:t>
      </w:r>
    </w:p>
    <w:p>
      <w:r>
        <w:rPr>
          <w:b/>
        </w:rPr>
        <w:t>E. 1</w:t>
      </w:r>
    </w:p>
    <w:p>
      <w:r>
        <w:t>Angefochten ist der kantonal letztinstanzliche Entscheid betreffend eine Erwachsenenschutzmassnahme; die Beschwerde in Zivilsachen steht offen (Art. 72 Abs. 2 lit. b Ziff. 6,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Das Appellationsgericht hat (stark zusammengefasst) erwogen, dass der Beschwerdeführer aufgrund seiner demenziellen Entwicklung und angesichts eines psychoorganischen Syndroms nicht mehr in der Lage sei, seine Angelegenheiten selbständig zu erledigen; in den Bereichen Finanzielles, Administratives, Wohnen und Gesundheit sei er auf Unterstützung angewiesen. Diese könne die Beschwerdeführerin als seine Ehefrau entgegen den Vorbringen in der Beschwerde nicht gewährleisten; sie sei nicht in der Lage (gewesen), die Wohn- und Schuldensituation zu regeln, sie habe das ihr angebotene rechtliche Gehör bzw. überhaupt eine Kooperation verweigert und für sie habe am 18. August 2023 ebenfalls eine (nicht angefochtene und damit in Rechtskraft erwachsene) Beistandschaft errichtet werden müssen.</w:t>
      </w:r>
    </w:p>
    <w:p>
      <w:r>
        <w:rPr>
          <w:b/>
        </w:rPr>
        <w:t>E. 4</w:t>
      </w:r>
    </w:p>
    <w:p>
      <w:r>
        <w:t>Die Beschwerdeführer schildern den Ablauf der Ausweisung und den gesundheitlichen Zustand des Beschwerdeführers aus ihrer eigenen Sicht und machen geltend, dies sei im angefochtenen Entscheid falsch dargestellt; allerdings beschränken sie sich auf appellatorische Behauptungen, was nicht genügt (vgl. E. 2). Sodann macht die Beschwerdeführerin sinngemäss geltend, sie habe alles im Griff, auch die finanziellen Angelegenheiten; auch hier handelt es sich um appellatorische Behauptungen, die in offensichtlichem Widerspruch zu den verbindlichen Sachverhaltsfeststellungen des angefochtenen Entscheides stehen.</w:t>
      </w:r>
    </w:p>
    <w:p>
      <w:r>
        <w:t>Soweit die Beschwerdeführer vorbringen, sie würden sich in der Notwohnung wie in einem Gefängnis fühlen und sie würden von den Behörden die Möbel und all die brisanten Dokumente nicht herausbekommen, besteht kein Zusammenhang mit der Frage der Errichtung einer Beistandschaft.</w:t>
      </w:r>
    </w:p>
    <w:p>
      <w:r>
        <w:t>Gänzlich ausserhalb des Anfechtungsgegenstandes steht schliesslich das Anliegen der Beschwerdeführer, dass ihr Sohn die wegen falscher Aussagen gestrichene IV-Rente wieder erhalten sollte, damit er ihr Auto finanzieren könne.</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