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5A_174/2019 vom 6. März 2019</w:t>
      </w:r>
    </w:p>
    <w:p>
      <w:r>
        <w:t>Bundesgericht, 2019-03-06, DE</w:t>
      </w:r>
    </w:p>
    <w:p>
      <w:r>
        <w:rPr>
          <w:b/>
        </w:rPr>
        <w:t xml:space="preserve">Quelle: </w:t>
      </w:r>
      <w:r>
        <w:t>https://mcp.opencaselaw.ch/entscheid/bger_5A_174_2019</w:t>
      </w:r>
    </w:p>
    <w:p>
      <w:r>
        <w:t>FR: TF 5A_174/2019 du 6 mars 2019</w:t>
      </w:r>
    </w:p>
    <w:p>
      <w:r>
        <w:t>IT: TF 5A_174/2019 del 6 marzo 2019</w:t>
      </w:r>
    </w:p>
    <w:p>
      <w:pPr>
        <w:pStyle w:val="Heading2"/>
      </w:pPr>
      <w:r>
        <w:t>Erwägungen</w:t>
      </w:r>
    </w:p>
    <w:p>
      <w:r>
        <w:rPr>
          <w:b/>
        </w:rPr>
        <w:t>E. 1</w:t>
      </w:r>
    </w:p>
    <w:p>
      <w:r>
        <w:t>Die Beschwerde hat ein Rechtsbegehren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Gegenstand der Beschwerde kann einzig die Frage der Testamentsungültigkeit und die zugrunde liegende Beweiswürdigung des Obergerichtes bilden: Die Herabsetzungsklage wurde gutgeheissen, so dass diesbezüglich keine Beschwer besteht, und ausserhalb des angefochtenen Entscheides liegende Themen können nicht zum Beschwerdegegenstand gemacht werden.</w:t>
      </w:r>
    </w:p>
    <w:p>
      <w:r>
        <w:t>Die Rechtsbegehren des Beschwerdeführers - soweit es sich überhaupt um Anträge und nicht einfach um Ausführungen handelt - betreffen allgemeine Dinge wie die Offenlegung der Buchhaltung und weiterer Dokumente sowie die Bitte um eine Aussprache etc.; all dies geht am Anfechtungsgegenstand vorbei. Indes ist aufgrund der Passage im Rechtsbegehren 1 "Die Frage bleibt, ob das Testament... in vorliegender Form Gültigkeit hat" erkennbar, dass es dem Beschwerdeführer auch um die Feststellung der Nichtigkeit des Testamentes geht. Dies (und einzig dies) kann Beschwerdethema sein.</w:t>
      </w:r>
    </w:p>
    <w:p>
      <w:r>
        <w:rPr>
          <w:b/>
        </w:rPr>
        <w:t>E. 3</w:t>
      </w:r>
    </w:p>
    <w:p>
      <w:r>
        <w:t>Was die Beschwerdebegründung in Bezug auf dieses Thema anbelangt, ist in den Ausführungen (das Testament erwähne einen "niederträchtigen Vertrag", der nicht beiliege; die Testamentseröffnung sei deshalb unvollständig gewesen; das Testament beachte die gesetzlichen Schranken nicht, insbesondere sei ein gänzlicher Ausschluss von der Erbfolge unsittlich und realitätsfremd; das Testament kreiere eine Universalerbin, welche im schweizerischen Recht keine Konturen habe; das Testament sei ein Empfindlichkeitsbeschrieb; ein Testament sei das falsche Instrument, um post mortem abzustrafen; allgemeine Schilderung der familiären Umstände) weder eine Auseinandersetzung mit den Erwägungen des angefochtenen Entscheides erkennbar noch dargetan, inwiefern das Obergericht gegen eine Rechtsnorm verstossen haben soll; vielmehr räumt der Beschwerdeführer letztlich selbst ein, dass das Testament formgültig errichtet worden ist. Soweit er im kantonalen Verfahren nicht die Urteilsunfähigkeit des Erblassers darzutun vermochte und er vorliegend nicht aufzeigt, inwiefern das Obergericht mit dem diesbezüglichen negativen Beweisergebnis in Willkür verfallen wäre, vermag er keine Rechtsverletzung im Zusammenhang mit der Testierfähigkeit aufzuzeigen. Insbesondere ist kein Nichtigkeitsgrund, dass der Erblasser - was dem Beschwerdeführer offensichtlich ein Dorn im Auge ist - von seiner Testierfreiheit Gebrauch gemacht und eine nicht zum Kreis der gesetzlichen Erben gehörende Person eingesetzt hat.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