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173/2024 vom 9. Oktober 2024</w:t>
      </w:r>
    </w:p>
    <w:p>
      <w:r>
        <w:t>Bundesgericht, 2024-10-09, FR</w:t>
      </w:r>
    </w:p>
    <w:p>
      <w:r>
        <w:rPr>
          <w:b/>
        </w:rPr>
        <w:t xml:space="preserve">Quelle: </w:t>
      </w:r>
      <w:r>
        <w:t>https://mcp.opencaselaw.ch/entscheid/bger_5A_173_2024</w:t>
      </w:r>
    </w:p>
    <w:p>
      <w:r>
        <w:t>FR: TF 5A 173/2024 du 9 octobre 2024</w:t>
      </w:r>
    </w:p>
    <w:p>
      <w:r>
        <w:t>IT: TF 5A 173/2024 del 9 ottobre 2024</w:t>
      </w:r>
    </w:p>
    <w:p>
      <w:pPr>
        <w:pStyle w:val="Heading2"/>
      </w:pPr>
      <w:r>
        <w:t>Regeste</w:t>
      </w:r>
    </w:p>
    <w:p>
      <w:r>
        <w:t>mesures protectrices de l'union conjugale (garde)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non pécuniaire. Le recours est donc en principe recevable au regard des dispositions qui précèdent.</w:t>
      </w:r>
    </w:p>
    <w:p>
      <w:r>
        <w:rPr>
          <w:b/>
        </w:rPr>
        <w:t>E. 2.1</w:t>
      </w:r>
    </w:p>
    <w:p>
      <w:r>
        <w:t>Comme la décision attaquée porte sur des mesures provisionnelles au sens de l' art. 98 LTF ( ATF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5A_591/2023 du 22 février 2024 consid. 2.1; 8C_629/2023 du 18 décembre 2023 consid. 1.4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de l'irrecevabilité prononcée par la cour cantonale de plusieurs conclusions prises dans son appel et invoque à cet égard une violation de l' art. 29 Cst.</w:t>
      </w:r>
    </w:p>
    <w:p>
      <w:r>
        <w:rPr>
          <w:b/>
        </w:rPr>
        <w:t>E. 3.1</w:t>
      </w:r>
    </w:p>
    <w:p>
      <w:r>
        <w:t>Il ressort de l'arrêt cantonal que, dans son appel du 28 août 2023, le recourant avait pris les conclusions principales suivantes: "I. Réformer l'ordonnance rendue le 15 août 2023 par la Présidente du Tribunal d'arrondissement de l'Est vaudois en ce sens que les chiffres I (devenu sans objet), II, III, IV, V, VII (contenant les chiffres II, III et IV concernant les mesures d'éloignement du prononcé de mesures protectrices de l'union conjugale du 8 février 2023), X, XIII et XIV; II. Dire que la garde alternée est maintenue pour le bien des enfants; III. Dire que l'ordonnance du 19 décembre 2022 reste valable pour tous les points qu'elle comporte à l'exception de l'énumération des points ci-dessus sont maintenues" ( sic ). La cour cantonale a relevé que le recourant avait conclu à la réforme de certains points du dispositif, sans toutefois formuler ses propres conclusions. Elle a estimé que, dans la mesure où il se contentait d'exposer sa propre vision des faits, de renvoyer à son mémoire déposé en première instance et de conclure à la réforme de certains chiffres du dispositif, sans formuler les conclusions qu'il voudrait voir admises, son appel ne répondait pas aux exigences en la matière et devait être considéré comme irrecevable.</w:t>
      </w:r>
    </w:p>
    <w:p>
      <w:r>
        <w:rPr>
          <w:b/>
        </w:rPr>
        <w:t>E. 3.2</w:t>
      </w:r>
    </w:p>
    <w:p>
      <w:r>
        <w:t>Le recourant affirme méconnaître les prescriptions relatives à la rédaction des conclusions en matière civile et soutient que, dans la mesure où il n'était pas assisté d'un avocat en instance cantonale et au vu de la complexité de l'affaire et du litige important des parties, l'autorité précédente aurait dû l'interpeller afin qu'il apporte des précisions concernant ses conclusions, voire qu'elle sollicite les prestations d'un avocat pour lui venir en aide.</w:t>
      </w:r>
    </w:p>
    <w:p>
      <w:r>
        <w:rPr>
          <w:b/>
        </w:rPr>
        <w:t>E. 3.3</w:t>
      </w:r>
    </w:p>
    <w:p>
      <w:r>
        <w:t>En tant que le recourant invoque la violation de l' art. 29 Cst. , il paraît vouloir tirer argument de jurisprudences rendues sous l'empire des droits de procédure civile cantonaux, dont il ressort que l'obligation d'interpellation du tribunal pourrait découler du droit d'être entendu dans les cas où, selon les circonstances, l'ignorance d'une partie quant aux exigences procédurales serait clairement visible (arrêts 5A_712/2010 du 2 février 2011 consid. 3.1.4; cf. ég. 5P.147/2001 du 30 août 2001 consid. 2a/cc). Compte tenu de l'entrée en vigueur du Code de procédure civile fédérale et de l'abondante jurisprudence relative à l'application des art. 56 CPC - qui régit la question de l'interpellation des parties par le tribunal - et 69 CPC - qui règle celle de l'incapacité de procéder -, le recourant aurait dû en réalité soulever un grief d'application arbitraire de ces dispositions ( art. 9 Cst. ). Il n'est toutefois pas nécessaire de déterminer si le grief de violation de l' art. 29 Cst. a une portée comparable, dès lors que les critiques sont de toute manière vouées à l'échec (cf. infra consid. 3.4.3 et 3.5.2).</w:t>
      </w:r>
    </w:p>
    <w:p>
      <w:r>
        <w:rPr>
          <w:b/>
        </w:rPr>
        <w:t>E. 3.4.1</w:t>
      </w:r>
    </w:p>
    <w:p>
      <w:r>
        <w:t>Conformément à l' art. 311 al. 1 CPC , l'appel doit être présenté par écrit et motivé. Le mémoire d'appel doit contenir des conclusions ( ATF 137 III 617 consid. 4.2.2). Dans les conclusions, la partie exprime la conséquence juridique qu'elle recherche dans la procédure d'appel et dans quelle mesure elle demande au tribunal une protection juridique à cet effet (arrêt 5A_467/2023 du 14 novembre 2023 consid. 4.3.1; 4A_439/2014 du 16 février 2015 consid. 5.4.3.1). Les conclusions doivent être libellées de telle manière que l'autorité d'appel puisse, s'il y a lieu, les incorporer sans modification au dispositif de sa propre décision ( ATF 137 III 617 consid. 4.3). Cela étant, les conclusions doivent être interprétées selon le principe de la confiance, à la lumière de la motivation de l'acte. L'interdiction du formalisme excessif commande ainsi de ne pas se montrer trop strict dans la formulation des conclusions si, à la lecture du mémoire, on comprend clairement ce que veut le recourant ( ATF 149 III 224 consid. 5.2.2 et les références).</w:t>
      </w:r>
    </w:p>
    <w:p>
      <w:r>
        <w:rPr>
          <w:b/>
        </w:rPr>
        <w:t>E. 3.4.2</w:t>
      </w:r>
    </w:p>
    <w:p>
      <w:r>
        <w:t>Selon l' art. 56 CPC , le tribunal interpelle les parties lorsque leurs actes ou déclarations sont peu clairs, contradictoires, imprécis ou manifestement incomplets et leur donne l'occasion de les clarifier et de les compléter. Le devoir d'interpellation du tribunal n'enlève toutefois pas aux parties la responsabilité de procéder en temps utile, ce qui vaut également pour la question des conclusions (arrêt 5A_618/2015 du 2 mars 2016 consid. 6.6). Ainsi, de même que les insuffisances dans les conclusions ne sont pas des vices réparables au sens de l' art. 132 al. 1 CPC (cf. arrêts 5A_1036/2019 du 10 juin 2020 consid. 4.4; 5A_929/2015 du 17 juin 2016 consid. 3.2), le devoir d'interpellation du juge selon l' art. 56 CPC n'a pas non plus pour but d'attirer l'attention d'une partie sur des conclusions incomplètes ou manquantes (arrêt 5A_467/2023 du 14 novembre 2023 consid. 4.3.2).</w:t>
      </w:r>
    </w:p>
    <w:p>
      <w:r>
        <w:rPr>
          <w:b/>
        </w:rPr>
        <w:t>E. 3.4.3</w:t>
      </w:r>
    </w:p>
    <w:p>
      <w:r>
        <w:t>En l'espèce et compte tenu de la jurisprudence qui précède, c'est en pure perte que le recourant soutient que l'autorité cantonale aurait été tenue de l'interpeller afin qu'il apporte des précisions concernant ses conclusions. L'intéressé ne soutient du reste pas que le sens de ses conclusions pouvait être aisément déterminé en tenant compte de la motivation de son appel (cf. supra consid. 3.4.1), celle-ci ayant au demeurant été déclarée irrecevable par l'autorité cantonale. Par conséquent, le grief, pour autant que recevable, est infondé.</w:t>
      </w:r>
    </w:p>
    <w:p>
      <w:r>
        <w:rPr>
          <w:b/>
        </w:rPr>
        <w:t>E. 3.5.1</w:t>
      </w:r>
    </w:p>
    <w:p>
      <w:r>
        <w:t>Aux termes de l' art. 69 al. 1 CPC , si une partie est manifestement incapable de procéder elle-même, le tribunal peut l'inviter à commettre un représentant. Si la partie ne donne pas suite à cette injonction dans le délai imparti, le tribunal en désigne un. Cette disposition doit être appliquée de manière restrictive et l'incapacité de procéder ne doit pas être admise à la légère (arrêt 5A_469/2019 du 17 novembre 2020 consid. 4.2). Le fait que la requête d'un profane semble lacunaire ne justifie pas en soi l'hypothèse qu'il ne peut pas mener lui-même son procès. Il faut par contre tenir compte, par exemple, d'une absence durable ou de problèmes de santé (arrêts 5A_618/2015 du 2 mars 2016 consid. 6.7; 5A_286/2015 du 2 novembre 2015 consid. 2.2.4). Le recours à l' art. 69 CPC ne permet pas au requérant de se décharger de la tâche de chercher lui-même un avocat prêt à le représenter et, le cas échéant, à déposer pour lui des demandes d'assistance judiciaire et à prendre d'autres mesures juridiques (arrêt 5A_483/2018 du 23 octobre 2018 consid. 3.2).</w:t>
      </w:r>
    </w:p>
    <w:p>
      <w:r>
        <w:rPr>
          <w:b/>
        </w:rPr>
        <w:t>E. 3.5.2</w:t>
      </w:r>
    </w:p>
    <w:p>
      <w:r>
        <w:t>En l'espèce, dès lors que le recourant se borne à invoquer son absence de connaissances juridiques, la complexité de l'affaire et le litige important des parties, il n'apporte pas d'éléments permettant d'admettre un cas d'application de l' art. 69 al. 1 CPC . Il s'ensuit que son grief doit être rejeté dans la mesure de sa recevabilité.</w:t>
      </w:r>
    </w:p>
    <w:p>
      <w:r>
        <w:rPr>
          <w:b/>
        </w:rPr>
        <w:t>E. 4</w:t>
      </w:r>
    </w:p>
    <w:p>
      <w:r>
        <w:t>Le recourant se plaint de la violation de son droit d'être entendu ( art. 29 al. 2 Cst. ), sous l'angle de la violation de son droit de répliquer.</w:t>
      </w:r>
    </w:p>
    <w:p>
      <w:r>
        <w:rPr>
          <w:b/>
        </w:rPr>
        <w:t>E. 4.1</w:t>
      </w:r>
    </w:p>
    <w:p>
      <w:r>
        <w:t>Il relève que, le 22 janvier 2024, tant l'intimée que la DGEJ ont déposé leurs déterminations sur le fond et rappelle que l'arrêt querellé a été rendu le 31 janvier 2024, à savoir moins de 10 jours après la communication des déterminations citées. Le recourant reproche ainsi à la juridiction précédente de ne pas lui avoir laissé suffisamment de temps pour faire valoir son droit de réplique inconditionnel sur les déterminations de deuxième instance de l'intimée et de la DGEJ.</w:t>
      </w:r>
    </w:p>
    <w:p>
      <w:r>
        <w:rPr>
          <w:b/>
        </w:rPr>
        <w:t>E. 4.2.1</w:t>
      </w:r>
    </w:p>
    <w:p>
      <w:r>
        <w:t>Compris comme l'un des aspects de la notion générale de procès équitable au sens de l' art. 29 Cst. ,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5A_70/2021 du 18 octobre 2021 consid. 3.1).</w:t>
      </w:r>
    </w:p>
    <w:p>
      <w:r>
        <w:rPr>
          <w:b/>
        </w:rPr>
        <w:t>E. 4.2.2</w:t>
      </w:r>
    </w:p>
    <w:p>
      <w:r>
        <w:t>Il découle du caractère inconditionnel du droit de réplique garanti par l' art. 29 al. 2 Cst.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(arrêts 1C_358/2022 du 3 août 2022 consid. 2.1; 5A_70/2021 du 18 octobre 2021 consid. 3.1; 5A_17/2020 du 20 mai 2020 consid. 3.2.2).</w:t>
      </w:r>
    </w:p>
    <w:p>
      <w:r>
        <w:rPr>
          <w:b/>
        </w:rPr>
        <w:t>E. 4.3</w:t>
      </w:r>
    </w:p>
    <w:p>
      <w:r>
        <w:t>En l'espèce, le recourant a remis le 30 janvier 2024 au greffe du Tribunal cantonal vaudois ses observations, datées de la veille. Il a par conséquent pu se déterminer sur les écritures du 22 janvier 2024 préalablement à la reddition de l'arrêt querellé le 31 janvier suivant. L'intéressé ne soutient au demeurant pas que ses déterminations auraient été incomplètes et qu'il aurait souhaité les compléter. Dans ces circonstances, on ne discerne pas de violation du droit à la réplique du recourant et le grief doit être rejeté.</w:t>
      </w:r>
    </w:p>
    <w:p>
      <w:r>
        <w:rPr>
          <w:b/>
        </w:rPr>
        <w:t>E. 5</w:t>
      </w:r>
    </w:p>
    <w:p>
      <w:r>
        <w:t>Le recourant invoque la violation de son droit d'être entendu ( art. 29 al. 2 Cst. ) sous l'angle de la motivation insuffisante de l'arrêt querellé.</w:t>
      </w:r>
    </w:p>
    <w:p>
      <w:r>
        <w:rPr>
          <w:b/>
        </w:rPr>
        <w:t>E. 5.1</w:t>
      </w:r>
    </w:p>
    <w:p>
      <w:r>
        <w:t>Il explique que la décision entreprise ne mentionne aucunement l'existence de ses déterminations du 29 janvier 2024 et que la cour cantonale n'a a fortiori pas évoqué les raisons qui l'auraient amenée à écarter celles-ci.</w:t>
      </w:r>
    </w:p>
    <w:p>
      <w:r>
        <w:rPr>
          <w:b/>
        </w:rPr>
        <w:t>E. 5.2</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La motivation peut d'ailleurs être implicite et résulter des différents considérants de la décision ( ATF 141 V 557 consid. 3.2.1; arrêt 5A_415/2020 du 18 mars 2021 consid. 3.1). Une réparation par le Tribunal fédéral d'une violation du droit d'être entendu est exceptionnellement possible, pour autant que la violation ne soit pas particulièrement grave et que seules des questions de droit, examinées avec pleine cognition par le Tribunal fédéral, soient litigieuses ( ATF 144 III 394 consid. 4.4; 133 I 201 consid. 2.2).</w:t>
      </w:r>
    </w:p>
    <w:p>
      <w:r>
        <w:rPr>
          <w:b/>
        </w:rPr>
        <w:t>E. 5.3</w:t>
      </w:r>
    </w:p>
    <w:p>
      <w:r>
        <w:t>En l'espèce, il est vrai que, dans la décision querellée, on ne trouve pas de mention des déterminations du 29 janvier 2024 du recourant.</w:t>
      </w:r>
    </w:p>
    <w:p>
      <w:r>
        <w:rPr>
          <w:b/>
        </w:rPr>
        <w:t>E. 5.3.1</w:t>
      </w:r>
    </w:p>
    <w:p>
      <w:r>
        <w:t>Dans l'arrêt entrepris, la juridiction précédente a relevé que, dans son rapport d'évaluation du 13 avril 2023, l'UEMS avait constaté que le conflit parental était très prégnant et anxiogène pour les enfants qui étaient fortement impliqués dans les différends qui opposaient leurs parents, que la mère disposait des compétences nécessaires pour s'occuper des enfants, qu'elle ne présentait aucune carence éducative et qu'elle était par ailleurs impliquée dans le réseau des professionnels encadrant les enfants. Le père était en revanche apparu obnubilé par le conflit avec son épouse, ne tenait pas compte de la détresse de ses enfants, les ayant exposés de manière significative au conflit parental, avait démontré une capacité réduite à éprouver des affects envers la détresse de son épouse et l'exposition au conflit de ses enfants, et n'était pas en mesure d'exercer sa parentalité de façon suffisamment sécure, par son positionnement envers la mère des enfants, ses agissements envers l'école et de façon unanime auprès de professionnels. La cour cantonale a également indiqué que, selon l'UEMS, depuis la rupture du couple parental, l'expérimentation du mode de garde partagée avait démontré des difficultés relationnelles importantes entre les parents et une surexposition des enfants au conflit parental, que ce système de garde ne permettait pas de préserver les enfants des pressions exercées par le père et qu'il convenait par conséquent de restreindre le droit de visite de ce dernier pour protéger les enfants du conflit parental actuel. L'UEMS avait également souligné l'inquiétude unanime des professionnels intervenus au sein de la famille en lien avec le comportement du père envers la mère des enfants - mettant en évidence un contexte d'emprise et une absence de remise en question - mais également par rapport à l'isolement social des enfants et une trop forte exposition au conflit de la part du père. L'UEMS avait par conséquent préconisé de restreindre le droit de visite du père, voire de le suspendre en cas de péjoration de la situation. L'autorité cantonale a considéré que le rapport de l'UEMS était clair, complet et convainquant, qu'il avait été rédigé après une enquête sérieuse, comprenant un entretien avec chacun des parents, une visite des enfants au domicile maternel, une visite des enfants au domicile paternel, un entretien avec les enfants à l'UEMS et des contacts téléphoniques notamment avec le pédiatre et les enseignants des enfants. Elle a retenu que le père n'avançait aucun élément concret qui permettrait de douter du contenu du rapport et remettre en cause l'analyse détaillée qui y était faite et que la prétendue disproportion entre les entretiens des intervenants de l'UEMS avec le père et ceux avec la mère ne permettait pas de conclure autrement. La juridiction précédente a également retenu que le père se contentait de nier les affirmations de la mère et de critiquer le travail des intervenants, ce qui était insuffisant. Elle a indiqué qu'il était indéniable que le conflit conjugal perdurait et s'intensifiait, comme en témoignaient les mesures d'éloignement et les plaintes pénales déposées, et qu'il était manifeste que les enfants étaient impliqués dans le conflit qui opposait leurs parents. Les mineurs apparaissent ainsi être en danger dans leur développement. La cour cantonale a ajouté que cette situation empêchait C.________ en particulier d'être entièrement disponible pour ses études, ce qui l'avait conduit à éviter de justesse un échec scolaire en juin 2023. Son relevé de notes de fin d'année 2023 laissait toutefois apparaître des insuffisances, pouvant conduire à un échec. S'exprimant à ce sujet, son enseignante avait expliqué que la situation était compliquée pour C.________ depuis la séparation de ses parents. La juridiction cantonale a encore souligné que le père pouvait se montrer contrôlant et agressif et qu'il n'avait aucune conscience des conséquences de son comportement et du conflit parental sur les enfants. Les enseignants évoquaient en outre des difficultés rencontrées avec lui, les intervenants sociaux mentionnant également leurs inquiétudes concernant le suivi des enfants au vu du comportement paternel, le contexte d'emprise et son importante difficulté à se remettre en question. Par exemple, la DGEJ avait été dans l'impossibilité de s'entretenir seule avec l'adolescent C.________, le père s'y opposant. L'autorité de première instance avait aussi mentionné l'agressivité de l'intéressé en procédure et en audience et les mesures d'éloignement confirmaient ces aspects. Dans ces circonstances, la garde alternée était inenvisageable et la garde devait être attribuée à la mère, plus à même d'agir en conformité avec les intérêts et le bien-être de ses fils. En conclusion, la solution préconisée par l'UEMS et décidée par l'autorité de première instance correspondait à l'intérêt des enfants et devait être confirmée.</w:t>
      </w:r>
    </w:p>
    <w:p>
      <w:r>
        <w:rPr>
          <w:b/>
        </w:rPr>
        <w:t>E. 5.3.2</w:t>
      </w:r>
    </w:p>
    <w:p>
      <w:r>
        <w:t>Le recourant soutient que sa réplique et les documents produits à son appui permettaient d'infirmer, d'une part, l'absence de collaboration retenue contre lui par la juridiction cantonale et, d'autre part, la constatation cantonale relative à la situation scolaire de C.________.</w:t>
      </w:r>
    </w:p>
    <w:p>
      <w:r>
        <w:rPr>
          <w:b/>
        </w:rPr>
        <w:t>E. 5.3.3</w:t>
      </w:r>
    </w:p>
    <w:p>
      <w:r>
        <w:t>En l'espèce, l'autorité cantonale n'a certes pas spécifiquement discuté plus avant les éléments fournis par le recourant dans sa réplique. Cela étant, ceux-ci ne sont nullement déterminants pour l'issue du litige et, quand bien même ils auraient été établis, ils n'auraient de toute manière pas permis de mettre à mal la motivation circonstanciée et détaillée fournie par l'autorité cantonale ainsi que le résultat auquel celle-ci est parvenue, à savoir l'attribution de la garde des enfants à la mère. Il s'ensuit que le grief doit être rejeté dans la mesure où il est recevable.</w:t>
      </w:r>
    </w:p>
    <w:p>
      <w:r>
        <w:rPr>
          <w:b/>
        </w:rPr>
        <w:t>E. 6</w:t>
      </w:r>
    </w:p>
    <w:p>
      <w:r>
        <w:t>Le recourant se plaint d'arbitraire ( art. 9 Cst. ) en relation avec la constatation cantonale selon laquelle il exercerait une influence sur l'enfant C.________ concernant ses relations personnelles avec l'intimée.</w:t>
      </w:r>
    </w:p>
    <w:p>
      <w:r>
        <w:rPr>
          <w:b/>
        </w:rPr>
        <w:t>E. 6.1</w:t>
      </w:r>
    </w:p>
    <w:p>
      <w:r>
        <w:t>Sur ce dernier point, la cour cantonale a relevé que, dans ses déterminations du 31 août 2023, la mère avait conclu à ce qu'il soit donné ordre au père de respecter immédiatement le chiffre II de l'ordonnance de première instance, respectivement le droit de garde prononcé, sous la menace d'une amende au titre de l' art. 292 CP . Elle a retenu que, bien que la garde exclusive ait été attribuée à la mère, il ne fallait pas perdre de vue que C.________, âgé de 14 ans, disposait de son discernement et qu'il possédait un certain droit à l'autodétermination. Il vivait ainsi auprès du père et ne se rendait pas aux visites fixées chez la mère. Par ailleurs, il était certes influencé par le père, mais même l'ORPM en charge du cas avait temporairement renoncé à une exécution stricte de la décision judiciaire consacrant le droit de garde de la mère, au vu de la particularité des circonstances. Dans ce contexte, il convenait en l'état d'attendre le résultat de l'expertise pédopsychiatrique avant de statuer sur les conclusions de la mère, qui pourraient le cas échéant, être réitérées devant l'autorité de première instance.</w:t>
      </w:r>
    </w:p>
    <w:p>
      <w:r>
        <w:rPr>
          <w:b/>
        </w:rPr>
        <w:t>E. 6.2</w:t>
      </w:r>
    </w:p>
    <w:p>
      <w:r>
        <w:t>Selon l' art. 76 al. 1 let. b LTF , le recourant doit avoir un intérêt digne de protection à l'annulation de la décision attaquée. Celui-ci consiste dans l'utilité pratique que l'admission du recours apporterait à son auteur, en lui évitant de subir un préjudice de nature économique, idéale, matérielle ou autre que la décision attaquée lui occasionnerait ( ATF 143 III 578 consid. 3.2.2.2; 137 II 40 consid. 2.3).</w:t>
      </w:r>
    </w:p>
    <w:p>
      <w:r>
        <w:rPr>
          <w:b/>
        </w:rPr>
        <w:t>E. 6.3</w:t>
      </w:r>
    </w:p>
    <w:p>
      <w:r>
        <w:t>En l'occurrence, le recourant ne remet pas en cause le résultat retenu par l'autorité cantonale - laquelle a, en l'état, rejeté la conclusion prise par la mère - mais s'en prend uniquement à la considération selon laquelle il influencerait l'enfant C.________. Or, le Tribunal fédéral n'entre pas en matière sur un recours critiquant la motivation de l'arrêt rendu, si cela ne conduit pas à modifier ce qui a été décidé (arrêt 5A_28/2024 du 18 juin 2024 consid. 4 et la référence). Ainsi, même si le recourant réfute la constatation litigieuse, il ne dispose pas d'un intérêt digne de protection à l'admission de son grief, puisque, en l'état, il a obtenu gain de cause s'agissant de la conclusion prise par l'intimée.</w:t>
      </w:r>
    </w:p>
    <w:p>
      <w:r>
        <w:rPr>
          <w:b/>
        </w:rPr>
        <w:t>E. 7</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