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173/2021 vom 9. März 2021</w:t>
      </w:r>
    </w:p>
    <w:p>
      <w:r>
        <w:t>Bundesgericht, 2021-03-09, DE</w:t>
      </w:r>
    </w:p>
    <w:p>
      <w:r>
        <w:rPr>
          <w:b/>
        </w:rPr>
        <w:t xml:space="preserve">Quelle: </w:t>
      </w:r>
      <w:r>
        <w:t>https://mcp.opencaselaw.ch/entscheid/bger_5A_173_2021</w:t>
      </w:r>
    </w:p>
    <w:p>
      <w:r>
        <w:t>FR: TF 5A 173/2021 du 9 mars 2021</w:t>
      </w:r>
    </w:p>
    <w:p>
      <w:r>
        <w:t>IT: TF 5A 173/2021 del 9 marzo 2021</w:t>
      </w:r>
    </w:p>
    <w:p>
      <w:pPr>
        <w:pStyle w:val="Heading2"/>
      </w:pPr>
      <w:r>
        <w:t>Regeste</w:t>
      </w:r>
    </w:p>
    <w:p>
      <w:r>
        <w:t>Fürsorgerische Unterbringung | Familienrecht</w:t>
      </w:r>
    </w:p>
    <w:p>
      <w:pPr>
        <w:pStyle w:val="Heading2"/>
      </w:pPr>
      <w:r>
        <w:t>Erwägungen</w:t>
      </w:r>
    </w:p>
    <w:p>
      <w:r>
        <w:rPr>
          <w:b/>
        </w:rPr>
        <w:t>E. 1</w:t>
      </w:r>
    </w:p>
    <w:p>
      <w:r>
        <w:t>Direkt auf dem angefochtenen Entscheid hält die Beschwerdeführerin fest, sie sei dem ganzen Mist darin nicht nachgegangen, da sie sonst ausrasten würde. Dennoch schreibt sie bei zahlreichen Passagen des Entscheides das Wort "Lüge" und zum Teil auch ganze Texte hin, namentlich im Zusammenhang mit dem notwendigen polizeilichen Einsatz. Sodann verlangt sie in einem Begleitschreiben Entschädigung wegen der fürsorgerischen Unterbringung und als Opfer von willkürlichem Missbrauch, Lügen, Verleumdung und schweren psychotischen Verletzungen. Ferner scheint sie sich auch an der Feststellung von wahnhaften Störungen Anstoss zu nehmen, die sie in Abrede stellt.</w:t>
      </w:r>
    </w:p>
    <w:p>
      <w:r>
        <w:rPr>
          <w:b/>
        </w:rPr>
        <w:t>E. 2</w:t>
      </w:r>
    </w:p>
    <w:p>
      <w:r>
        <w:t>Zur Beschwerde ist nur berechtigt, wer ein schutzwürdiges Interesse an der Aufhebung der Änderung des angefochtenen Entscheides hat ( Art. 76 Abs. 1 lit. b BGG ). Dies ist vorliegend nicht der Fall, weil die fürsorgerische Unterbringung aufgehoben ist, der Beschwerdeführerin keine Kosten auferlegt wurden und nur das Dispositiv des angefochtenen Entscheides massgeblich ist, während blosse Erwägungen von vornherein keine Beschwer bedeuten ( BGE 129 III 320 E. 5.1 S. 323; 130 III 321 E. 6 S. 328).</w:t>
      </w:r>
    </w:p>
    <w:p>
      <w:r>
        <w:rPr>
          <w:b/>
        </w:rPr>
        <w:t>E. 3</w:t>
      </w:r>
    </w:p>
    <w:p>
      <w:r>
        <w:t>Allfälliger Schadenersatz kann nicht im Rahmen eines die fürsorgerische Unterbringung aufhebenden Entscheides zugesprochen werden. Vielmehr hätte die Beschwerdeführerin gegen den Staat eine Haftungsklage gemäss Art. 454 ZGB anzustrengen. Hierfür ist das Bundesgericht allerdings nicht (erstinstanzlich) zuständig.</w:t>
      </w:r>
    </w:p>
    <w:p>
      <w:r>
        <w:rPr>
          <w:b/>
        </w:rPr>
        <w:t>E. 4</w:t>
      </w:r>
    </w:p>
    <w:p>
      <w:r>
        <w:t>Nach dem Gesagten ist auf die Beschwerde im vereinfachten Verfahren nach Art. 108 Abs. 1 lit. a BGG nicht einzutreten.</w:t>
      </w:r>
    </w:p>
    <w:p>
      <w:r>
        <w:rPr>
          <w:b/>
        </w:rPr>
        <w:t>E. 5</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