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5A_172/2018 vom 23. August 2018</w:t>
      </w:r>
    </w:p>
    <w:p>
      <w:r>
        <w:t>Bundesgericht, 2018-08-23, FR</w:t>
      </w:r>
    </w:p>
    <w:p>
      <w:r>
        <w:rPr>
          <w:b/>
        </w:rPr>
        <w:t xml:space="preserve">Quelle: </w:t>
      </w:r>
      <w:r>
        <w:t>https://mcp.opencaselaw.ch/entscheid/bger_5A_172_2018</w:t>
      </w:r>
    </w:p>
    <w:p>
      <w:r>
        <w:t>FR: TF 5A_172/2018 du 23 août 2018</w:t>
      </w:r>
    </w:p>
    <w:p>
      <w:r>
        <w:t>IT: TF 5A_172/2018 del 23 agosto 2018</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 art. 75 et 76 LTF ), dans une affaire matrimoniale ( art. 72 al. 1 LTF ). La cause a pour objet la contribution d'entretien en faveur de l'ex-épouse ainsi que le partage des avoirs de prévoyance professionnelle. Il s'agit donc d'une affaire de nature pécuniaire, dont la valeur litigieuse est supérieure à 30'000 fr. (art. 74 al. 1 let. b et 51 al. 1 let. a et al. 4 LTF). Le recours en matière civile est ainsi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2.3</w:t>
      </w:r>
    </w:p>
    <w:p>
      <w:r>
        <w:t>L'ensemble des griefs de violation du droit fédéral soulevés par le recourant le sont uniquement sous l'angle de l'arbitraire. Il convient dès lors de préciser que 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(arrêts 5A_819/2017 du 20 mars 2018 consid. 2.3; 4A_8/2013 du 2 mai 2013 consid. 2.2 non publié aux ATF 139 III 214 ).</w:t>
      </w:r>
    </w:p>
    <w:p>
      <w:r>
        <w:rPr>
          <w:b/>
        </w:rPr>
        <w:t>E. 3</w:t>
      </w:r>
    </w:p>
    <w:p>
      <w:r>
        <w:t>Le recourant reproche en premier lieu à la Cour d'appel d'avoir estimé à tort que le mariage avait eu un impact décisif sur la situation de l'intimée justifiant l'allocation d'une contribution d'entretien. Il soulève à cet égard un grief de violation de l' art. 125 CC et d'arbitraire dans l'établissement des faits.</w:t>
      </w:r>
    </w:p>
    <w:p>
      <w:r>
        <w:rPr>
          <w:b/>
        </w:rPr>
        <w:t>E. 3.1</w:t>
      </w:r>
    </w:p>
    <w:p>
      <w:r>
        <w:t>Selon lui, les témoins entendus en première instance avaient indiqué que l'intimée avait bénéficié de l'aide de " copines " qui gardaient son fils avec leurs enfants pour jouer l'après-midi ou pour dormir ainsi que d'une femme de ménage de temps en temps. Ils avaient par ailleurs précisé que C.________ avait été gardé par une nounou brésilienne pendant un an au moins et qu'il allait à la crèche. Le témoin E.________ avait affirmé que, après la naissance de C.________, elle avait fait le ménage pour les époux et faisait " tout ", notamment nettoyer la maison avec un peu de repassage, ce qui représentait 3 à 4 heures par semaine. Congé maternité déduit, l'enfant avait ainsi été gardé, au jour de la séparation, plus souvent par des tiers que par sa propre mère bien que celle-ci ne travaillât pas. La cour cantonale avait par conséquent retenu arbitrairement que l'intimée avait cessé de travailler pour s'occuper de l'enfant. Il était par ailleurs inexact d'affirmer que les parties avaient adopté une organisation classique selon laquelle le père travaille et la mère reste à la maison dans la mesure où tant la prise en charge de l'enfant par des tiers que l'engagement de personnel pour nettoyer la maison visaient à permettre à l'intimée de retrouver un emploi. Le recourant reproche en outre à la cour cantonale d'avoir considéré la période de concubinage ayant précédé le mariage comme un élément justifiant l'allocation d'une contribution d'entretien. Selon lui, cette période comprise entre le printemps 1999 et le mariage des parties en octobre 2005 pouvait uniquement être déterminante si le concubinage avait durablement influencé la vie des époux et que le mariage apparaissait comme la " confirmation de la prise de confiance déjà fondée par celui-ci ". Tel n'était toutefois pas le cas en l'espèce dans la mesure où l'expertise mise en oeuvre au cours de la procédure de première instance avait permis de démontrer que la situation financière des époux était déficitaire durant leur union. L'intimée avait en outre continué à travailler à 100% durant la période de concubinage et l'enfant commun n'était né qu'après le mariage. Le concubinage ne pouvait au demeurant être qualifié de stable dans la mesure où F.________ avait indiqué que les parties s'étaient séparées de fin 2003 à l'été 2004. Pour ces divers motifs, on ne pouvait considérer que l'intimée pouvait prétendre à une quelconque contribution d'entretien.</w:t>
      </w:r>
    </w:p>
    <w:p>
      <w:r>
        <w:rPr>
          <w:b/>
        </w:rPr>
        <w:t>E. 3.2.1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et les références).</w:t>
      </w:r>
    </w:p>
    <w:p>
      <w:r>
        <w:t>Selon la jurisprudence, quand le mariage a eu un impact décisif sur la vie de l'époux créancier et a concrètement influencé sa situation financière (" lebensprägende Ehe "), il a en principe droit au maintien du niveau de vie mené durant le mariage, alors que, dans le cas contraire, il convient de s'en tenir à la situation qui était la sienne avant le mariage ( ATF 137 III 102 consid. 4.1.2; 135 III 59 consid. 4.1). On admet que le mariage a eu une influence concrète sur les conditions d'existence de l'époux lorsqu'il a créé pour lui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141 III 465 consid. 3.1; 135 III 59 consid. 4.1 et les références); une position de confiance digne de protection créée par le mariage peut être retenue pour d'autres motifs également (arrêt 5A_767/2011 du 1</w:t>
      </w:r>
    </w:p>
    <w:p>
      <w:r>
        <w:t>er juin 2012 consid. 5.2.2 et les références).</w:t>
      </w:r>
    </w:p>
    <w:p>
      <w:r>
        <w:t>Un tel mariage ne donne toutefois pas automatiquement droit à une contribution d'entretien: selon la jurisprudence, le principe de l'autonomie prime le droit à l'entretien, ce qui se déduit directement de l' art. 125 CC (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 ATF 137 III 102 consid. 4.1.2).</w:t>
      </w:r>
    </w:p>
    <w:p>
      <w:r>
        <w:rPr>
          <w:b/>
        </w:rPr>
        <w:t>E. 3.3</w:t>
      </w:r>
    </w:p>
    <w:p>
      <w:r>
        <w:t>En l'occurrence, les parties ont un enfant commun. Dans la mesure où l'intimée a cessé d'exercer toute activité lucrative concomitamment à la naissance de ce dernier, on voit mal pour quel autre motif que celui de s'occuper de son fils elle aurait renoncé à son activité professionnelle. Les témoignages dont se prévaut le recourant mettent par ailleurs uniquement en évidence que l'intimée bénéficiait d'une aide ménagère et qu'une nounou l'avait assistée pour s'occuper de l'enfant durant une période dont la durée n'est pas très claire puisque le seul témoin à l'avoir mentionnée parle d'un " certain temps " avant de préciser " en tout cas une année, sans pouvoir dire ". Le fait que l'enfant fréquentait une crèche ressort par ailleurs uniquement du témoignage de la femme de ménage qui n'est toutefois pas déterminant sur ce point dans la mesure où elle a uniquement déclaré " penser " qu'il allait à la crèche. Le fait que l'intimée ait pu bénéficier occasionnellement de l'aide d'amies ou d'une nounou pour s'occuper de son fils ne change rien au fait qu'elle a cessé son activité professionnelle lors de la naissance de l'enfant commun et qu'elle ne l'a reprise que dix ans plus tard à temps partiel. La naissance de l'enfant commun a ainsi bien créé une position de confiance chez l'intimée qui justifie dans son principe le droit à une contribution d'entretien. C'est en effet selon toute vraisemblance du fait de la naissance qu'elle a cessé de travailler et qu'elle n'est aujourd'hui plus en mesure de subvenir seule à son entretien. Preuve en est que le recourant soutient d'ailleurs lui-même que l'intimée avait toujours travaillé à 100% durant les années de concubinage qui ont précédé l'union et la naissance de l'enfant. Dès lors que, dans ces circonstances, la naissance de l'enfant commun suffit à justifier l'allocation d'une contribution d'entretien à l'intimée dans son principe, il n'est pas nécessaire de traiter le grief du recourant afférent à la prise en compte de la durée du concubinage pour évaluer s'il s'agissait ou non en l'espèce d'un mariage de longue durée.</w:t>
      </w:r>
    </w:p>
    <w:p>
      <w:r>
        <w:rPr>
          <w:b/>
        </w:rPr>
        <w:t>E. 4</w:t>
      </w:r>
    </w:p>
    <w:p>
      <w:r>
        <w:t>Le recourant se plaint ensuite du fait que les charges de l'intimée ont été établies de manière arbitraire et du fait que certains postes de charges n'auraient pas dû être inclus dans le calcul compte tenu de la méthode de calcul de la contribution d'entretien appliquée. Il soulève ainsi à la fois un grief d'arbitraire dans l'établissement des faits et d'arbitraire dans l'application de l' art. 125 CC .</w:t>
      </w:r>
    </w:p>
    <w:p>
      <w:r>
        <w:rPr>
          <w:b/>
        </w:rPr>
        <w:t>E. 4.1</w:t>
      </w:r>
    </w:p>
    <w:p>
      <w:r>
        <w:t>Le recourant reproche pour l'essentiel à la cour cantonale d'avoir inclus dans le budget de l'intimée plusieurs postes de charges qui n'auraient en principe pas dû être pris en compte eu égard à la méthode de calcul choisie pour fixer la contribution d'entretien, à savoir la méthode du minimum vital élargi avec répartition de l'excédent. Il lui fait par ailleurs grief de ne pas avoir tenu compte des mêmes postes de charges le concernant. Il relève ainsi que seules les charges minimales ont été prises en compte dans son budget alors que, s'agissant de l'intimée, elle avait également intégré les frais des services industriels et de Romande Energie, de Billag et Sitel, les frais de téléphonie, ses primes d'assurance vie et sa charge fiscale. Il lui reproche également d'avoir accepté des frais de véhicule de 500 fr. par mois alors que rien n'indiquait que l'intimée avait besoin d'un véhicule pour se rendre à son travail. Enfin, les frais de logement des enfants devant désormais être déduits de ceux du parent gardien, seul un montant correspondant à 70% du loyer mensuel de 1'200 fr. de l'intimée devait être admis dans le budget de cette dernière. Selon ses propres calculs, c'est donc un montant de 2'715 fr. par mois qui aurait dû être retenu pour les charges de l'intimée, de sorte qu'elle était à même de subvenir à ses besoins avec ses revenus mensuels de 3'690 fr.</w:t>
      </w:r>
    </w:p>
    <w:p>
      <w:r>
        <w:rPr>
          <w:b/>
        </w:rPr>
        <w:t>E. 4.2</w:t>
      </w:r>
    </w:p>
    <w:p>
      <w:r>
        <w:t>La loi n'impose pas de mode de calcul particulier pour fixer le montant de la contribution d'entretien de l'époux et les tribunaux jouissent d'un large pouvoir d'appréciation en la matière ( art. 4 CC ; ATF 134 III 577 consid. 4; 116 II 103 consid. 2f). Quelle que soit la méthode appliquée, le train de vie mené jusqu'à la cessation de la vie commune constitue la limite supérieure du droit à l'entretien ( ATF 137 III 102 consid. 4.2.1.1; arrêt 5A_479/2015 du 6 janvier 2016 consid. 4.4.2 et les références).</w:t>
      </w:r>
    </w:p>
    <w:p>
      <w:r>
        <w:t>Selon la jurisprudence, en cas de situation financière favorable, dans laquelle les frais supplémentaires liés à l'existence de deux ménages séparés sont couverts (arrêt 5A_445/2014 du 26 août 2014 consid. 5.1, publié in FamPra.ch 2015 p. 217),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 ATF 140 III 485 consid. 3.3; 137 III 102 consid. 4.2.1.1).</w:t>
      </w:r>
    </w:p>
    <w:p>
      <w:r>
        <w:rPr>
          <w:b/>
        </w:rPr>
        <w:t>E. 4.3</w:t>
      </w:r>
    </w:p>
    <w:p>
      <w:r>
        <w:t>En l'espèce, contrairement à ce qu'affirme le recourant, il n'apparaît pas que la Cour d'appel, nonobstant le fait qu'elle a mentionné la méthode du minimum vital avec répartition de l'excédent en se référant à l'expertise ordonnée en première instance qui en préconisait l'application, ait en définitive utilisé dite méthode. La cour cantonale a en effet établi le train de vie de l'intimée dont elle a déduit ses revenus et a arrêté le montant de la contribution d'entretien à son seul déficit sans tenir compte du disponible du recourant. Cela étant, il apparaît que, pour établir le train de vie de l'intimée, la Cour d'appel a tenu compte, s'agissant des dépenses couvrant les besoins essentiels, du montant de base pour un débiteur monoparental tel qu'il ressort des Lignes directrices pour le calcul du minimum vital du droit des poursuites selon l' art. 93 LP établies par la Conférence des préposés aux poursuites et faillites de Suisse. Elle n'a donc pas établi ni chiffré concrètement quels postes de charges de l'intimée était inclus dans ce montant. Ce faisant, elle a procédé à un mélange des méthodes de calcul prohibé par la jurisprudence (cf. ATF 140 III 485 consid. 3.5.2).</w:t>
      </w:r>
    </w:p>
    <w:p>
      <w:r>
        <w:t>Le recours doit en conséquence être admis sur ce point et la cause renvoyée à l'autorité cantonale pour qu'elle choisisse clairement quelle méthode de calcul elle souhaite appliquer dans le cas d'espèce. Dans l'hypothèse où elle choisirait la méthode du minimum vital élargi avec répartition de l'excédent, les postes de charges pris en compte pour calculer le disponible de chacune des parties devront effectivement être les mêmes. Si elle opte pour la méthode dite du train de vie, elle devra établir concrètement l'ensemble des charges dont doit s'acquitter l'intimée pour maintenir le train de vie qui était le sien durant l'union. S'agissant particulièrement de la charge de loyer de l'intimée, le recourant estime qu'une part de celle-ci doit être déduite et intégrée dans les besoins de l'enfant. Au regard de la décision de première instance du 9 mai 2017, il n'apparaît pas qu'une partie du loyer de sa mère ait été incluse dans le budget mensuel de 1'000 fr. retenu pour l'enfant. Le recourant verse certes pour l'entretien de ce dernier, de son plein gré, un montant supérieur au budget mensuel retenu. Rien dans la motivation de cette décision ne permet toutefois de déterminer quelles charges cet excédent est censé couvrir. Dans ces circonstances, il appartiendra à l'autorité cantonale de déterminer si la contribution versée par le recourant à son fils comprend effectivement une part du loyer de sa mère et, cas échéant, d'en déterminer le montant et de le déduire des charges de cette dernière. A toutes fins utiles, il sera par ailleurs rappelé que le nouvel art. 276a al. 1 CC prévoit désormais non seulement que le droit à l'entretien de l'enfant mineur doit prévaloir sur celui des autres créanciers d'entretien mais également que cette primauté porte sur l'entretien convenable de l'enfant et plus seulement sur son minimum vital LP (cf. arrêt 5A_764/2017 du 7 mars 2018 consid. 4.1.3). L'entretien convenable ne comprend toutefois pas des montants supérieurs que le débirentier verserait à bien plaire à l'enfant. S'agissant des frais de véhicule de l'intimée, si la méthode de calcul concrète est appliquée, celle-ci pourra effectivement faire valoir ses frais effectifs, pour autant qu'ils soient démontrés, et non des frais limités au coût d'un abonnement général CFF comme le souhaite le recourant.</w:t>
      </w:r>
    </w:p>
    <w:p>
      <w:r>
        <w:rPr>
          <w:b/>
        </w:rPr>
        <w:t>E. 5</w:t>
      </w:r>
    </w:p>
    <w:p>
      <w:r>
        <w:t>Le recourant se plaint d'une application arbitraire de l'art. 7d du Titre final du Code civil au motif que la Cour d'appel avait appliqué, en confirmant la décision de première instance sur ce point, la législation antérieure à l'entrée en vigueur du nouveau droit pour procéder au partage de l'avoir LPP accumulé par les parties durant le mariage et non le nouvel art. 122 CC en vertu duquel le moment déterminant pour procéder au partage des avoirs LPP est la date d'introduction de la procédure de divorce. Une simple lecture de la loi permettait en effet de comprendre que les procédures en cours étaient régies par le nouveau droit.</w:t>
      </w:r>
    </w:p>
    <w:p>
      <w:r>
        <w:rPr>
          <w:b/>
        </w:rPr>
        <w:t>E. 5.1</w:t>
      </w:r>
    </w:p>
    <w:p>
      <w:r>
        <w:t>La cour cantonale a relevé que, selon le Message du Conseil fédéral du 29 mai 2013 concernant la révision du code civil suisse (Partage de la prévoyance professionnelle en cas de divorce; FF 2013 p. 4341; ci-après: Message), le nouveau droit s'appliquait aux procès en divorce pendants devant une instance cantonale supérieure au moment de l'entrée en vigueur et ne faisait aucune réserve, s'agissant de l'application de l' art. 122 CC , notamment pour ce qui était du jour déterminant pour le partage (Message, p. 4375). Au vu de ce texte légal clair et univoque qui ne souffrait a priori pas d'interprétation on pouvait</w:t>
      </w:r>
    </w:p>
    <w:p>
      <w:r>
        <w:t>prima facie retenir que le nouveau droit était matériellement applicable sans restriction. Une partie de la doctrine considérait toutefois que, si l'on pouvait conclure des travaux préparatoires que le législateur avait voulu introduire rapidement les améliorations du nouveau droit, on ne pouvait toutefois en déduire qu'il avait entendu provoquer des résultats arbitraires pour les parties à un procès pendant. Pour ces auteurs, le fondement du principe général de la non-rétroactivité (art. 1 à 4 Tit. fin. CC) était le besoin de sécurité du droit, car il était contraire au principe de la bonne foi de soumettre un état de fait à des règles nouvelles qui avaient un effet négatif pour une des parties. La bonne foi de la partie touchée par de tels effets était décisive et ce besoin serait lésé par un déplacement du jour déterminant à un moment antérieur à l'entrée en vigueur du nouveau droit. Ils préconisaient donc une application immédiate du nouveau droit, mais sans rétroactivité, "</w:t>
      </w:r>
    </w:p>
    <w:p>
      <w:r>
        <w:t>ex nunc et pro futuro " dès le jour de son entrée en vigueur. Le jour déterminant pour le partage pour tous les procès en cours devait ainsi être le 1er janvier 2017.</w:t>
      </w:r>
    </w:p>
    <w:p>
      <w:r>
        <w:t>La Cour d'appel s'est dite convaincue par cette interprétation qui permettait de concilier le principe de l'application immédiate du nouveau droit avec les principes généraux de non-rétroactivité et de protection de la bonne foi de la partie faible. Elle a en effet jugé choquant qu'en raison de la longueur particulière de la procédure - ici introduite en février 2011 -, les droits de la partie réputée faible, qui a moins cotisé à la prévoyance professionnelle en raison notamment du fait qu'elle a assumé la charge du ménage et l'éducation des enfants, soient considérablement réduits, ce qui était au demeurant de nature à inciter la partie débitrice à faire prolonger la procédure au-delà du 1</w:t>
      </w:r>
    </w:p>
    <w:p>
      <w:r>
        <w:t>er janvier 2017, afin de bénéficier du nouveau droit.</w:t>
      </w:r>
    </w:p>
    <w:p>
      <w:r>
        <w:t>Les premiers juges, qui avaient indiqué avoir statué le 21 décembre 2016, avaient certes appliqué la législation antérieure à l'entrée en vigueur du nouveau droit pour procéder au partage de l'avoir LPP accumulé par les parties durant le mariage jusqu'au 30 novembre 2016. Cette solution, qui n'était pas contestée par l'intimée à l'appel joint, était plus favorable à l'époux appelant par voie de jonction que si la répartition avait été effectuée sur la base de la situation - très proche - au 1</w:t>
      </w:r>
    </w:p>
    <w:p>
      <w:r>
        <w:t>er janvier 2017, de sorte qu'elle l'a confirmée.</w:t>
      </w:r>
    </w:p>
    <w:p>
      <w:r>
        <w:rPr>
          <w:b/>
        </w:rPr>
        <w:t>E. 5.2</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 été rendu le 10 janvier 2018, soit après l'entrée en vigueur, le 1</w:t>
      </w:r>
    </w:p>
    <w:p>
      <w:r>
        <w:t>er janvier 2017, de la novelle du 19 juin 2015 portant notamment modification des art. 122 ss CC (RO 2016 2313; FF 2015 4437).</w:t>
      </w:r>
    </w:p>
    <w:p>
      <w:r>
        <w:t>Selon l' art. 122 CC , dans sa teneur en vigueur au 1</w:t>
      </w:r>
    </w:p>
    <w:p>
      <w:r>
        <w:t>er janvier 2017, les prétentions de prévoyance professionnelle acquises durant le mariage et jusqu'à l'introduction de la procédure de divorce sont partagées entre les époux. Le Message précise que, matériellement, les principes régissant les dispositions transitoires sont les mêmes que lors de l'entrée en vigueur du nouveau droit du divorce du 26 juin 1998. Ainsi, le nouveau droit s'applique aux procès en divorce pendants devant une instance cantonale supérieure au moment de l'entrée en vigueur, comme le prévoit l' art. 7b al. 1 Tit. fin. CC (FF 2013 ch. 2.1 p. 4375). Le Message ne fait aucune réserve concernant l'application de l' art. 122 CC , notamment à propos du jour déterminant pour le partage.</w:t>
      </w:r>
    </w:p>
    <w:p>
      <w:r>
        <w:rPr>
          <w:b/>
        </w:rPr>
        <w:t>E. 5.3</w:t>
      </w:r>
    </w:p>
    <w:p>
      <w:r>
        <w:t>Dans un arrêt 5A_710/2017 du 30 avril 2018 consid. 5.2, le Tribunal de céans a fait état de l'opinion divergente d'une partie de la doctrine à laquelle s'est ralliée la Cour d'appel dans l'arrêt litigieux. Il a toutefois rappelé avoir déjà tranché la question de la date déterminante pour le partage lorsque la procédure était déjà pendante lors de l'entrée en vigueur du nouveau droit dans un arrêt 5A_819/2017 du 20 mars 2018 dans lequel il avait été considéré que le texte clair de l' art. 7d al. 2 Tit. fin. CC ne souffrait pas d'interprétation. Dans cet arrêt, il a été décidé que seul est déterminant pour l'application du nouveau droit le fait que la décision par laquelle le juge avait ordonné le partage des prestations de sortie avait été prise après le 1</w:t>
      </w:r>
    </w:p>
    <w:p>
      <w:r>
        <w:t>er janvier 2017, ce qui est le cas en l'espèce. Il en résulte que les motifs pour lesquels la procédure a perduré au-delà de l'entrée en vigueur du nouveau droit ne sont pas des circonstances pertinentes pour l'application du droit transitoire (arrêt 5A_819/2017 du 20 mars 2018 consid. 10.2.2).</w:t>
      </w:r>
    </w:p>
    <w:p>
      <w:r>
        <w:t>Compte tenu de ce qui précède, le grief du recourant apparaît fondé. Devaient en effet être partagés entre les époux, les avoirs de prévoyance professionnelle qu'ils avaient accumulés entre la date du mariage et celle de l'introduction de la procédure de divorce ( art. 122 et 123 al. 1 CC ). L'arrêt attaqué sera en conséquence annulé sur ce point et la cause renvoyée à l'autorité cantonale afin qu'elle établisse le montant des avoirs de prévoyance professionnelle accumulés par les époux au 10 février 2011 et qu'elle procède au partage de ceux-ci.</w:t>
      </w:r>
    </w:p>
    <w:p>
      <w:r>
        <w:rPr>
          <w:b/>
        </w:rPr>
        <w:t>E. 6</w:t>
      </w:r>
    </w:p>
    <w:p>
      <w:r>
        <w:t>Vu ce qui précède, le recours est admis, l'arrêt attaqué annulé s'agissant de la contribution due à l'entretien de l'intimée et du partage des avoirs de prévoyance professionnelle et la cause renvoyée à la Cour d'appel pour instruction complémentaire et nouvelle décision dans le sens des considérants. L'intimée qui succombe doit être condamnée aux frais et dépens de la procédure (art. 66 al. 1 et 68 al. 1 LTF).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