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5A_171/2020 vom 20. Mai 2020</w:t>
      </w:r>
    </w:p>
    <w:p>
      <w:r>
        <w:t>Bundesgericht, 2020-05-20, FR</w:t>
      </w:r>
    </w:p>
    <w:p>
      <w:r>
        <w:rPr>
          <w:b/>
        </w:rPr>
        <w:t xml:space="preserve">Quelle: </w:t>
      </w:r>
      <w:r>
        <w:t>https://mcp.opencaselaw.ch/entscheid/bger_5A_171_2020</w:t>
      </w:r>
    </w:p>
    <w:p>
      <w:r>
        <w:t>FR: TF 5A_171/2020 du 20 mai 2020</w:t>
      </w:r>
    </w:p>
    <w:p>
      <w:r>
        <w:t>IT: TF 5A_171/2020 del 20 maggio 2020</w:t>
      </w:r>
    </w:p>
    <w:p>
      <w:pPr>
        <w:pStyle w:val="Heading2"/>
      </w:pPr>
      <w:r>
        <w:t>Erwägungen</w:t>
      </w:r>
    </w:p>
    <w:p>
      <w:r>
        <w:rPr>
          <w:b/>
        </w:rPr>
        <w:t>E. 1.1</w:t>
      </w:r>
    </w:p>
    <w:p>
      <w:r>
        <w:t>L'arrêt entrepris a pour objet l'autorisation de déplacer le lieu de résidence des enfants nées hors mariage ainsi que la fixation du droit aux relations personnelles du père sur ses filles. Il s'agit d'une décision finale ( art. 90 LTF ) rendue sur recours par une autorité supérieure statuant en dernière instance cantonale ( art. 75 al. 1 et 2 LTF ) dans une affaire civile ( art. 72 al. 1 LTF ) de nature non pécuniaire. Le recours a été interjeté en temps utile (art. 46 al. 1 let a et 100 al. 1 LTF cum art. 1 al. 1 de l'Ordonnance du Conseil fédéral du 20 mars 2020 sur la suspension des délais dans les procédures civiles et administratives pour assurer le maintien de la justice en lien avec le coronavirus (COVID-19)) et dans la forme prévue par la loi ( art. 42 al. 1 LTF ) par une partie ayant succombé dans ses conclusions devant l'autorité précédente et ayant un intérêt digne de protection à l'annulation ou à la modification de l'arrêt déféré ( art. 76 al. 1 LTF ). Le recours en matière civile est donc en principe recevable au regard des dispositions qui précèdent. Il s'ensuit que le recours constitutionnel subsidiaire est d'emblée irrecevable ( art. 113 LTF ).</w:t>
      </w:r>
    </w:p>
    <w:p>
      <w:r>
        <w:rPr>
          <w:b/>
        </w:rPr>
        <w:t>E. 1.2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5A_892/2019 du 11 novembre 2019 consid. 3 et les références; 4A_417/2016 du 20 octobre 2016 consid. 1.1 et la référence); en particulier, il n'y a pas de présomption selon laquelle la partie qui ne précise pas ses conclusions en instance fédérale serait censée reprendre celles qu'elle a prises devant la juridiction précédente (arrêt 4A_417/2016 précité et la référence).</w:t>
      </w:r>
    </w:p>
    <w:p>
      <w:r>
        <w:t>Il n'est fait exception à l'exigence de conclusions réformatoires précises que lorsque le Tribunal fédéral, en cas d'admission du recours, ne serait de toute manière pas en situation de statuer lui -même sur le fond et ne pourrait que renvoyer la cause à l'autorité cantonale pour complément d'instruction ( ATF 134 III 379 consid. 1.3; 133 III 489 consid. 3.1; 130 III 136 consid. 1.2); il appartient au recourant de démontrer qu'il en est ainsi si cela ne résulte pas déjà de la décision attaquée ( ATF 133 III 489 consid. 3.1 et 3.2).</w:t>
      </w:r>
    </w:p>
    <w:p>
      <w:r>
        <w:rPr>
          <w:b/>
        </w:rPr>
        <w:t>E. 1.3</w:t>
      </w:r>
    </w:p>
    <w:p>
      <w:r>
        <w:t>En l'occurrence, le recourant conclut uniquement à l'annulation de l'arrêt attaqué et au renvoi de la cause à l'autorité cantonale pour nouvel examen. Dès lors que le litige porte sur l'autorisation de déplacer le lieu de résidence des enfants ainsi que sur les modalités d'exercice du droit de visite, le recourant, assisté d'un avocat, était en mesure - à l'instar de ce qu'il a fait en appel - de prendre des conclusions réformatoires. Cela étant, le recourant soulève un grief d'arbitraire dans l'établissement des faits et d'appréciation des preuves, soutenant notamment que la cour cantonale a statué sur la base d'un état de fait incomplet car insuffisamment instruit.</w:t>
      </w:r>
    </w:p>
    <w:p>
      <w:r>
        <w:t>S'il est vrai que l'admission d'un tel grief pourrait empêcher la Cour de céans de statuer elle-même et, partant, l'obliger à renvoyer la cause à l'autorité cantonale pour complètement de l'état de fait et nouvelle décision selon l' art. 107 al. 2 LTF , encore faut-il que la critique soit recevable. A lire l'acte de recours, il apparaît que le recourant sollicite le renvoi de la cause à l'autorité cantonale pour qu'elle actualise, respectivement, instruise d'office les éléments de fait relatifs au " cadre de vie dans lequel les enfants pourraient évoluer au Portugal ", soit, plus précisément, ceux ayant trait à la scolarisation des enfants dans ce pays, l'attestation du 11 mars 2019 versée à la procédure étant trop ancienne, à leur cadre de vie et à leur logement là-bas, les quelques photographies produites de la maison où l'intimée prétendait emménager avec ses enfants étant insuffisantes, à la situation professionnelle de l'intimée au Portugal, le courriel du 14 mars 2019 figurant au dossier ne pouvant remplacer un contrat de travail voire une promesse écrite d'engagement, ainsi qu'à la " situation financière globale " de cette dernière. Or, il résulte de l'acte de recours cantonal qu'au chapitre intitulé " constatation erronée des faits pertinents " (recours cantonal, let. C p. 4 ss), le recourant n'a axé sa critique relative aux " conditions de vie au Portugal " (recours cantonal, p. 4-5) que sur la question de l'emploi de l'intimée dans ce pays ainsi que sur celle de la maîtrise de la langue portugaise par ses filles. Faute d'épuisement des instances cantonales ( art. 75 al. 1 LTF ; ATF 143 III 290 consid. 1.1 et les arrêts cités), sa critique de constatation arbitraire des faits ne pourrait être examinée et, le cas échéant, accueillie qu'à l'égard de la question de la situation professionnelle de l'intimée au Portugal. Or, sauf à se référer pour la première fois aux déclarations faites par celle-ci devant la justice de paix le 2 avril 2019 et à invoquer en outre la pandémie de coronavirus, force est de constater que la critique s'épuise en la reprise de ce qui avait déjà été plaidé sans succès devant l'autorité cantonale, procédé en tant que tel irrecevable (cf. ATF 134 II 244 consid. 2.1 et 2.3). Partant, en l'absence de grief recevable dont l'admission aurait justifié un renvoi à la cour cantonale, on ne discerne donc pas pourquoi la Cour de céans ne pourrait pas mettre elle-même fin au litige, en cas de succès des autres arguments présentés, plutôt que renvoyer la cause à l'autorité cantonale.</w:t>
      </w:r>
    </w:p>
    <w:p>
      <w:r>
        <w:t>Il suit de là que les conclusions du recours sont lacunaires, ce qui conduit à son irrecevabilité.</w:t>
      </w:r>
    </w:p>
    <w:p>
      <w:r>
        <w:rPr>
          <w:b/>
        </w:rPr>
        <w:t>E. 2</w:t>
      </w:r>
    </w:p>
    <w:p>
      <w:r>
        <w:t>En définitive tant le recours en matière civile que le recours constitutionnel subsidiaires sont irrecevables. Comme ils étaient dénués de chances de succès, la demande d'assistance judiciaire doit être rejetée ( art. 64 al. 1 LTF ). Le recourant, qui succombe, supportera les frais judiciaires ( art. 66 al. 1 LTF ). N'ayant pas été invitée à se déterminer sur le fond et n'ayant pas été suivie sur la question de l'effet suspensif, l'intimée n'a pas droit à des dépens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