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5A_170/2026 vom 1. April 2026</w:t>
      </w:r>
    </w:p>
    <w:p>
      <w:r>
        <w:t>Bundesgericht, 2026-04-01, DE</w:t>
      </w:r>
    </w:p>
    <w:p>
      <w:r>
        <w:rPr>
          <w:b/>
        </w:rPr>
        <w:t xml:space="preserve">Quelle: </w:t>
      </w:r>
      <w:r>
        <w:t>https://mcp.opencaselaw.ch/entscheid/bger_5A_170_2026</w:t>
      </w:r>
    </w:p>
    <w:p>
      <w:r>
        <w:t>FR: TF 5A_170/2026 du 1 avril 2026</w:t>
      </w:r>
    </w:p>
    <w:p>
      <w:r>
        <w:t>IT: TF 5A_170/2026 del 1 aprile 2026</w:t>
      </w:r>
    </w:p>
    <w:p>
      <w:pPr>
        <w:pStyle w:val="Heading2"/>
      </w:pPr>
      <w:r>
        <w:t>Erwägungen</w:t>
      </w:r>
    </w:p>
    <w:p>
      <w:r>
        <w:rPr>
          <w:b/>
        </w:rPr>
        <w:t>E. 1</w:t>
      </w:r>
    </w:p>
    <w:p>
      <w:r>
        <w:t>Mit einer als "Beschwerde gegen das Zivilgericht Basel-Stadt (Aufsichtsrechtliche Anzeige) " bezeichneten Eingabe vom 25. November 2025 wandte sich die Beschwerdeführerin an das Zivilgericht. Mit Nachtrag vom 26. November 2025 ergänzte sie die Eingabe. Das Zivilgericht überwies die Eingaben dem Appellationsgericht des Kantons Basel-Stadt. Am 4. Dezember 2025 und 6. Januar 2026 reichte sie weitere Nachträge ein. Mit Entscheid vom 29. Januar 2026 wies das Appellationsgericht die aufsichtsrechtliche Anzeige ab, soweit es darauf eintrat.</w:t>
      </w:r>
    </w:p>
    <w:p>
      <w:r>
        <w:t>Dagegen hat die Beschwerdeführerin am 19. Februar 2026 (Postaufgabe) Beschwerde an das Bundesgericht erhoben. Am 20., 23., 24. und 26. Februar 2026 (jeweils Poststempel) hat sie die Beschwerde ergänzt.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Beschwerdeführerin hatte in ihrer Anzeige Verschiedenes vorgetragen (Forderung eines Mahn- und Betreibungsstopps; Kritik am Verhalten von Mitarbeitern des Zivilgerichts bei einer Exmission; Vorbringen zu Zahlungsbefehlen und sozialversicherungsrechtlichen, migrationsrechtlichen und steuerrechtlichen Verfahren). Das Appellationsgericht hat erwogen, dass für eine Anzeige gegen Mitarbeiter des Betreibungsamts die untere Aufsichtsbehörde über das Betreibungs- und Konkursamt zuständig sei. Ihre im Zusammenhang mit der Exmission geltend gemachte Schadenersatz- bzw. Genugtuungsforderung sei als Schlichtungsgesuch gegen den Kanton Basel-Stadt behandelt worden. Gegen die Entscheide im Schlichtungs- bzw. Klageverfahren habe die Beschwerdeführerin Rechtsmittel erhoben. Die Aufsichtsbeschwerde sei ausgeschlossen. Ein pflichtwidriges Verhalten von Mitarbeitern des Zivilgerichts sei nicht feststellbar.</w:t>
      </w:r>
    </w:p>
    <w:p>
      <w:r>
        <w:rPr>
          <w:b/>
        </w:rPr>
        <w:t>E. 4</w:t>
      </w:r>
    </w:p>
    <w:p>
      <w:r>
        <w:t>Mit diesen Erwägungen setzt sich die Beschwerdeführerin in ihren teilweise schwer verständlichen Eingaben nicht auseinander. Im Wesentlichen äussert sie sich zu angeblich bei der Exmission verschwundenen Beweismitteln, Verfahrensunterlagen und weiteren Gegenständen. Sie zielt offenbar darauf ab, das die Exmission betreffende Haftpflichtverfahren neu aufzurollen (vgl. dazu Urteil 4A_620/2025 vom 14. Januar 2026).</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