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5A_169/2012 vom 18. Juli 2012</w:t>
      </w:r>
    </w:p>
    <w:p>
      <w:r>
        <w:t>Bundesgericht, 2012-07-18, DE</w:t>
      </w:r>
    </w:p>
    <w:p>
      <w:r>
        <w:rPr>
          <w:b/>
        </w:rPr>
        <w:t xml:space="preserve">Quelle: </w:t>
      </w:r>
      <w:r>
        <w:t>https://mcp.opencaselaw.ch/entscheid/bger_5A_169_2012</w:t>
      </w:r>
    </w:p>
    <w:p>
      <w:r>
        <w:t>FR: TF 5A_169/2012 du 18 juillet 2012</w:t>
      </w:r>
    </w:p>
    <w:p>
      <w:r>
        <w:t>IT: TF 5A_169/2012 del 18 luglio 2012</w:t>
      </w:r>
    </w:p>
    <w:p>
      <w:pPr>
        <w:pStyle w:val="Heading2"/>
      </w:pPr>
      <w:r>
        <w:t>Erwägungen</w:t>
      </w:r>
    </w:p>
    <w:p>
      <w:r>
        <w:rPr>
          <w:b/>
        </w:rPr>
        <w:t>E. 1</w:t>
      </w:r>
    </w:p>
    <w:p>
      <w:r>
        <w:t>Gegen das eine Unterhaltssache ( Art. 72 Abs. 1 BGG ) betreffende angefochtene Urteil der auf Rechtsmittel hin urteilenden oberen kantonalen Instanz ( Art. 75 BGG ) ist die Beschwerde in Zivilsachen zulässig. Auf die rechtzeitig erhobene Beschwerde ist einzutreten.</w:t>
      </w:r>
    </w:p>
    <w:p>
      <w:r>
        <w:rPr>
          <w:b/>
        </w:rPr>
        <w:t>E. 2.1</w:t>
      </w:r>
    </w:p>
    <w:p>
      <w:r>
        <w:t>Der Beschwerdeführer wendet sich dagegen, dass ihn die Vorinstanz über seine Leistungsfähigkeit hinaus zu Unterhaltszahlungen verpflichtet hat.</w:t>
      </w:r>
    </w:p>
    <w:p>
      <w:r>
        <w:rPr>
          <w:b/>
        </w:rPr>
        <w:t>E. 2.2</w:t>
      </w:r>
    </w:p>
    <w:p>
      <w:r>
        <w:t>Die Vorinstanz hat den Bedarf des Beschwerdeführers für sich und seine neue Familie auf Fr. 5'087.20 bestimmt. Sein durchschnittliches monatliches Einkommen betrage Fr. 6'014.35, womit Fr. 927.15 für Unterhaltsleistungen verblieben. Das Obergericht hat sodann ausgeführt, der Beschwerdeführer habe in seiner Berufungsantwort ausdrücklich den Antrag gestellt, die Berufung der Beschwerdegegnerin abzuweisen und das erstinstanzliche Urteil vom 20. Juli 2007 vollumfänglich zu bestätigen. Er habe somit die erstinstanzlich festgesetzten Unterhaltsverpflichtungen nicht angefochten und er sei an diese Parteierklärung gebunden. Er bleibe deshalb verpflichtet - wie bereits erstinstanzlich festgesetzt - an den Unterhalt der Tochter T.________ monatliche Beiträge von Fr. 1'350.-- zuzüglich Kinderzulagen zu bezahlen. Des Weiteren habe er - wiederum in Übereinstimmung mit dem erstinstanzlichen Urteil - der Beschwerdegegnerin nachehelichen Unterhalt im Umfang von monatlich Fr. 800.-- bis 30. November 2013 zu bezahlen. Mangels Leistungsfähigkeit des Beschwerdeführers entfalle der Unterhaltsbeitrag an die Beschwerdegegnerin ab 1. Dezember 2013 für solange, als er der Tochter Unterhalt zu bezahlen habe. Ende seine Unterhaltspflicht gegenüber der Tochter, habe er der Beschwerdegegnerin ab diesem Zeitpunkt bis zu seinem Eintritt ins ordentliche gesetzliche Pensionsalter (Ende März 2026) monatlich Fr. 927.-- zu bezahlen.</w:t>
      </w:r>
    </w:p>
    <w:p>
      <w:r>
        <w:rPr>
          <w:b/>
        </w:rPr>
        <w:t>E. 3.1</w:t>
      </w:r>
    </w:p>
    <w:p>
      <w:r>
        <w:t>Das bezirksgerichtliche Urteil vom 20. Juli 2007 wurde den Parteien am 26. Juli 2007 zugestellt (E. I.2 S. 10 des angefochtenen Urteils). Die am 1. Januar 2011 in Kraft getretene Schweizerische Zivilprozessordnung (ZPO, SR 272) war damit weder auf das Klageverfahren noch auf die anschliessenden Rechtsmittelverfahren anwendbar (Art. 404 f. ZPO). Damit bleibt auf das Scheidungsverfahren das bisherige Recht anwendbar, d.h. massgeblich sind die auf 1. Januar 2011 ausser Kraft getretenen Bestimmungen von aArt. 135-149 ZGB (AS 1999 1132 ff.).</w:t>
      </w:r>
    </w:p>
    <w:p>
      <w:r>
        <w:rPr>
          <w:b/>
        </w:rPr>
        <w:t>E. 3.2</w:t>
      </w:r>
    </w:p>
    <w:p>
      <w:r>
        <w:t>Vorliegend hat die unterhaltsberechtigte Beschwerdegegnerin den erstinstanzlich festgesetzten nachehelichen Unterhalt vor Obergericht angefochten. Der Beschwerdeführer hat zwar zunächst Kindes- und nachehelichen Unterhalt angefochten und konkrete Berufungsanträge und die Begründung für später in Aussicht gestellt (act. 98 der obergerichtlichen Akten), diese dann jedoch nicht eingereicht, worauf das Obergericht auf seine Berufung nicht eingetreten ist. Sie bleibt deshalb im Folgenden ausser Betracht.</w:t>
      </w:r>
    </w:p>
    <w:p>
      <w:r>
        <w:t>Gemäss aArt. 148 Abs. 1 ZGB hemmt die Einlegung des Rechtsmittels den Eintritt der Rechtskraft nur im Umfang der Anträge; wird jedoch der Unterhaltsbeitrag für den Ehegatten angefochten, so können auch die Unterhaltsbeiträge für die Kinder neu beurteilt werden (vgl. nunmehr Art. 282 Abs. 2 ZPO ). Diese Ausnahmebestimmung bewirkt, dass bei einer Anfechtung des Unterhaltsbeitrags für den Ehegatten von Gesetzes wegen auch die Rechtskraft hinsichtlich der Unterhaltsbeiträge für die Kinder aufgeschoben wird. Dabei kommt es nicht darauf an, ob der unterhaltsverpflichtete oder der unterhaltsberechtigte Ehegatte das ordentliche Rechtsmittel gegen die Regelung des nachehelichen Unterhalts ergriffen hat (Verfügung 5A_247/2010 vom 5. August 2011 E. 3.2; vgl. DANIEL STECK, in: Basler Kommentar, Zivilgesetzbuch, 3. Aufl. 2006, N. 18 f. zu [a] Art. 148 ZGB ; STÉPHANE SPAHR, in: Commentaire romand, Code civil, 2010, N. 22 f. zu [a] Art. 148 ZGB ). Das Obergericht hat insoweit zu Recht nicht nur den Ehegattenunterhalt beurteilt, sondern auch die erstinstanzliche Festlegung des Kindesunterhalts als nicht rechtskräftig erachtet, selber noch einmal darüber befunden und einen entsprechenden Beitrag im Dispositiv zugesprochen.</w:t>
      </w:r>
    </w:p>
    <w:p>
      <w:r>
        <w:rPr>
          <w:b/>
        </w:rPr>
        <w:t>E. 3.3</w:t>
      </w:r>
    </w:p>
    <w:p>
      <w:r>
        <w:t>Der Unterhaltsanspruch der Ehegatten unterliegt der Dispositionsmaxime ( BGE 129 III 417 E. 2.1.2 S. 420; Urteil 5A_441/2008 vom 29. Dezember 2008 E. 4.5, in: Pra 2009 Nr. 66 S. 434 und FamPra.ch 2009 S. 470). Mithin greift das Verschlechterungsverbot (Verbot der reformatio in peius). Dieses besagt, dass die Rechtsmittelinstanz das angefochtene Urteil nicht zu Ungunsten der rechtsmittelführenden Partei abändern darf, es sei denn, die Gegenpartei habe ebenfalls ein Rechtsmittel ergriffen ( BGE 129 III 417 E. 2.1.1 S. 419). Da nach dem Nichteintreten auf die Berufung des Beschwerdeführers einzig die Berufung der Beschwerdegegnerin gegen die bezirksgerichtliche Festsetzung des nachehelichen Unterhalts zu behandeln war, erscheint es demgemäss grundsätzlich richtig, wenn die Vorinstanz der Beschwerdegegnerin nicht weniger zugesprochen hat, als ihr bereits vom Bezirksgericht zugestanden worden war. Auf diese Frage wird allerdings im Zusammenhang mit der Koordination mit dem Kindesunterhalt zurückzukommen sein (s. unten).</w:t>
      </w:r>
    </w:p>
    <w:p>
      <w:r>
        <w:t>Im Gegensatz zum Ehegattenunterhalt unterliegt der Kindesunterhalt der Offizialmaxime; der Richter ist folglich an Parteianträge nicht gebunden und entscheidet selbst bei deren Fehlen ( BGE 128 III 411 E. 3.1 S. 412 mit Hinweisen; vgl. nunmehr Art. 296 Abs. 3 ZPO ). Zudem gilt das Verschlechterungsverbot nicht ( BGE 129 III 417 E. 2.1.1 S. 420; Urteil 5A_652/2009 vom 18. Januar 2010 E. 3.1). Entgegen der Ansicht des Obergerichts ist die Offizialmaxime somit nicht nur zugunsten, sondern auch zulasten des Kindes anzuwenden bzw. zugunsten des Unterhaltspflichtigen ( BGE 128 III 411 E. 3.2.1 S. 414 [zum eng mit der Offizialmaxime zusammenhängenden Untersuchungsgrundsatz]; SPÜHLER/FREI-MAURER, Berner Kommentar, 1991, N. 33 zu [a] Art. 156 ZGB ; FABIENNE HOHL, Procédure civile, Tome II, 2. Aufl. 2010, Rz. 2091; NICOLAS JEANDIN, in: CPC, Code de procédure civile commenté, 2011, N. 16 zu Art. 296 ZPO ; a.A. BÜHLER/SPÜHLER, Berner Kommentar, 3. Aufl. 1980, N. 33 zu [a] Art. 156 ZGB ; FRANK/ STRÄULI/MESSMER, Kommentar zur zürcherischen Zivilprozessordnung, 3. Aufl. 1997, N. 15 zu § 200 ZPO /ZH). Dies gilt nicht nur dann, wenn sich der Rechtsmittelrichter aufgrund entsprechender Anträge mit dem Kindesunterhalt zu befassen hat, sondern auch dann, wenn er sich lediglich aufgrund von aArt. 148 Abs. 1 ZGB damit auseinandersetzen muss (SPAHR, a.a.O., N. 20 zu [a] Art. 148 ZGB ; DENIS TAPPY, in: CPC, Code de procédure civile commenté, 2011, N. 14 zu Art. 282 ZPO [mit der Einschränkung, dass es sich um eine "Kann-Vorschrift" handle und der Richter auf eine Senkung des Kindesunterhalts verzichten könne]; zweifelnd ROLAND FANKHAUSER, in: Sutter-Somm und andere [Hrsg.], Kommentar zur Schweizerischen Zivilprozessordnung [ZPO], 2010, N. 21 zu Art. 282 ZPO ). Das Zusammentreffen von Kinder- und Ehegattenrente und insbesondere die in aArt. 148 Abs. 1 ZGB zum Ausdruck gebrachte gegenseitige Abhängigkeit der Unterhaltsbeiträge sowie die Begrenzung beider durch die Leistungsfähigkeit des Pflichtigen ändern daran nichts. Der unterhaltsberechtigte Ehegatte und das Kind verfügen über selbständige Ansprüche mit je eigenem rechtlichem Schicksal. Namentlich bedeutet dies, dass der Ehegattenunterhalt auch im Anwendungsbereich von aArt. 148 Abs. 1 ZGB von der Dispositionsmaxime beherrscht bleibt und der Kindesunterhalt von der Offizialmaxime (zum Ganzen BGE 129 III 417 E. 2.1.1 und 2.1.2 S. 419 f.). Auch wenn der Gesetzgeber aArt. 148 Abs. 1 ZGB in erster Linie zugunsten des Kindes geschaffen haben mag (vgl. Botschaft vom 15. November 1995 über die Änderung des ZGB, BBl 1996 I 149 Ziff. 234.111), enthält die Norm keine Einschränkung, dass der Kindesunterhalt nur erhöht, nicht aber gesenkt werden dürfte. Das Gesetz äussert sich zudem nicht zur Frage eines allfälligen Vorrangs des Unterhalts für minderjährige Kinder vor dem Ehegattenunterhalt, oder umgekehrt ( BGE 132 III 209 E. 2.3 S. 211 mit Hinweisen), so dass im vorliegenden Kontext davon auszugehen ist, dass ein Konflikt zwischen den beiden Unterhaltsforderungen anhand der dargestellten prozessualen Prinzipien zu lösen ist. Da der Unterhaltspflichtige in jedem Fall von einem Eingriff in sein Existenzminimum geschützt bleibt ( BGE 135 III 66 ), führt die Anwendung der genannten Grundsätze dazu, dass im Rahmen der Unterhaltsverpflichtungen bis 30. November 2013 einzig der Kindesunterhalt gesenkt werden kann. Entsprechendes gilt auch für die Phase ab 1. Dezember 2013, in der der Beschwerdeführer nur zu Kindesunterhaltszahlungen verpflichtet wurde. In beiden Phasen ist allerdings zu berücksichtigen, dass alle unterhaltsberechtigten Kinder eines Elternteils im Verhältnis zu ihren objektiven Bedürfnissen finanziell gleich zu behandeln sind. Dabei kann der wiederverheiratete Unterhaltsschuldner die Sicherung des Existenzminimums nur für seine eigene Person beanspruchen, nicht aber für seine gesamte zweite Familie ( BGE 137 III 59 E. 4.2 S. 62 ff.). Die Vorinstanz hat dies nicht berücksichtigt, sondern das Existenzminimum des Schuldners an den Bedürfnissen seiner zweiten Familie ausgerichtet. Es ist demnach noch offen, ob der obergerichtlich festgesetzte Kindesunterhalt tatsächlich gesenkt werden muss. Die Beschwerde ist insoweit gutzuheissen und die Angelegenheit zur neuen Berechnung des Kindesunterhaltsbeitrags an die Vorinstanz zurückzuweisen. Nicht einzugehen ist hingegen auf die letzte Phase der Unterhaltsverpflichtung, d.h. auf die Zeitspanne vom Ende der Unterhaltspflicht gegenüber der Tochter T.________ bis 31. März 2026, in der der Beschwerdeführer zu nachehelichem Unterhalt von Fr. 927.-- verurteilt wurde. Der Beschwerdeführer setzt sich mit dieser Phase nicht auseinander und stellt insoweit keine konkreten bzw. nachvollziehbaren Anträge. Soweit sich seine Behauptung, zwischenzeitlich sei sein Einkommen weiter gesunken und seine Leistungsfähigkeit betrage nur noch Fr. 888.05, auch auf diese Phase beziehen sollte, so kann auf seine neuen Tatsachenbehauptungen (Lohnausweis vom 6. Februar 2012) ohnehin nicht eingetreten werden ( Art. 99 Abs. 1 BGG ).</w:t>
      </w:r>
    </w:p>
    <w:p>
      <w:r>
        <w:rPr>
          <w:b/>
        </w:rPr>
        <w:t>E. 4</w:t>
      </w:r>
    </w:p>
    <w:p>
      <w:r>
        <w:t>Bei diesem Ausgang des Verfahrens rechtfertigt es sich, auf die Erhebung von Gerichtskosten zu verzichten ( Art. 66 Abs. 1 BGG ). Die Parteien tragen ihre jeweiligen Parteikosten selber ( Art. 68 Abs. 1 BGG ). Beide Parteien haben um unentgeltliche Rechtspflege und Verbeiständung ersucht ( Art. 64 BGG ). Soweit die Gesuche nicht als gegenstandslos abgeschrieben werden, sind sie gutzuheissen. Dem Beschwerdeführer wird Rechtsanwalt Carmine Baselice und der Beschwerdegegnerin Rechtsanwalt Renzo Guzzi beigeordnet. Den Rechtsvertretern wird eine angemessene Entschädigung aus der Bundesgerichtskasse entrichtet. Die Parteien haben der Gerichtskasse hiefür Ersatz zu leisten, wenn sie später dazu in der Lage sein sollten. Über die bisherigen kantonalen Kosten und Entschädigungen wird das Obergericht im Rahmen des Rückweisungsverfahrens zu entscheiden haben ( Art. 67,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