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5A_167/2018 vom 26. April 2018</w:t>
      </w:r>
    </w:p>
    <w:p>
      <w:r>
        <w:t>Bundesgericht, 2018-04-26, DE</w:t>
      </w:r>
    </w:p>
    <w:p>
      <w:r>
        <w:rPr>
          <w:b/>
        </w:rPr>
        <w:t xml:space="preserve">Quelle: </w:t>
      </w:r>
      <w:r>
        <w:t>https://mcp.opencaselaw.ch/entscheid/bger_5A_167_2018</w:t>
      </w:r>
    </w:p>
    <w:p>
      <w:r>
        <w:t>FR: TF 5A_167/2018 du 26 avril 2018</w:t>
      </w:r>
    </w:p>
    <w:p>
      <w:r>
        <w:t>IT: TF 5A_167/2018 del 26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Kreisgericht Werdenberg-Sarganserland erteilte der Beschwerdegegnerin gegenüber der Beschwerdeführerin mit Entscheid vom 28. August 2017 definitive Rechtsöffnung für Fr. 54'904.80.-- (Zahlungsbefehl Nr. xxx des Betreibungsamtes U.________). Mit Entscheid vom 5. Dezember 2018 (recte: 2017) wies das Kantonsgericht St. Gallen die von der Beschwerdeführerin erhobene Beschwerde ab.</w:t>
      </w:r>
    </w:p>
    <w:p>
      <w:r>
        <w:t>Am 16. Februar 2018 hat die Beschwerdeführerin Beschwerde an das Bundesgericht erhoben. Mit Verfügung vom 19. Februar 2018 hat das Bundesgericht das Gesuch um aufschiebende Wirkung/vorsorgliche Massnahmen abgewiesen. Zugleich hat es der Beschwerdeführerin Frist angesetzt zur Leistung eines Kostenvorschusses von Fr. 3'000.-- ( Art. 62 BGG ). Mit Verfügung vom 15. März 2018 ist der Beschwerdeführerin gemäss Art. 62 Abs. 3 BGG eine Nachfrist zur Leistung des Kostenvorschusses bis zum 10. April 2018 angesetzt worden (unter Androhung des Nichteintretens auf die Beschwerde bei nicht fristgerechter Bezahlung).</w:t>
      </w:r>
    </w:p>
    <w:p>
      <w:r>
        <w:t>Die Beschwerdeführerin hat den Kostenvorschuss binnen der Nachfrist nicht bezahlt. Androhungsgemäss ist demnach gestützt auf Art. 62 Abs. 3 BGG im vereinfachten Verfahren nach Art. 108 Abs. 1 lit. a BGG durch das präsidierende Mitglied der Abteilung auf die Beschwerde nicht einzutreten.</w:t>
      </w:r>
    </w:p>
    <w:p>
      <w:r>
        <w:rPr>
          <w:b/>
        </w:rPr>
        <w:t>E. 2</w:t>
      </w:r>
    </w:p>
    <w:p>
      <w:r>
        <w:t>Bei diesem Ausgang des Verfahrens trägt die Beschwerdeführerin die reduzierten Gerichtskosten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