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5A_164/2015 vom 18. Juni 2015</w:t>
      </w:r>
    </w:p>
    <w:p>
      <w:r>
        <w:t>Bundesgericht, 2015-06-18, FR</w:t>
      </w:r>
    </w:p>
    <w:p>
      <w:r>
        <w:rPr>
          <w:b/>
        </w:rPr>
        <w:t xml:space="preserve">Quelle: </w:t>
      </w:r>
      <w:r>
        <w:t>https://mcp.opencaselaw.ch/entscheid/bger_5A_164_2015</w:t>
      </w:r>
    </w:p>
    <w:p>
      <w:r>
        <w:t>FR: TF 5A_164/2015 du 18 juin 2015</w:t>
      </w:r>
    </w:p>
    <w:p>
      <w:r>
        <w:t>IT: TF 5A_164/2015 del 18 giugno 2015</w:t>
      </w:r>
    </w:p>
    <w:p>
      <w:pPr>
        <w:pStyle w:val="Heading2"/>
      </w:pPr>
      <w:r>
        <w:t>Erwägungen</w:t>
      </w:r>
    </w:p>
    <w:p>
      <w:r>
        <w:rPr>
          <w:b/>
        </w:rPr>
        <w:t>E. 1.1</w:t>
      </w:r>
    </w:p>
    <w:p>
      <w:r>
        <w:t>L'arrêt entrepris, qui statue sur un recours contre la modification des relations personnelles (droit de visite) dans le cadre de mesures de protection au sens de l' art. 307 CC , est une décision prise en application de normes de droit public dans une matière connexe au droit civil, à savoir en matière de protection de l'enfant (art. 72 al. 2 let. b ch. 7 LTF). Comme la question soumise au Tribunal fédéral est de nature non pécuniaire, le recours est ouvert indépendamment de la valeur litigieuse. Par ailleurs, le recours a été interjeté en temps utile (art. 45 al. 1 et 100 al. 1 LTF) contre une décision finale ( art. 90 LTF ) rendue sur recours par une autorité supérieure statuant en dernière instance cantonale ( art. 75 al. 1 et 2 LTF ).</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Cet intérêt doit être actuel et pratique,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En général, un intérêt actuel et pratique fait défaut lorsque la décision attaquée a été exécutée ou est devenue sans objet ( ATF 125 I 394 consid. 4a p. 397) ou encore lorsque l'admission du recours ne permettrait pas la réparation du préjudice subi (cf. ATF 127 III 41 consid. 2b p. 42; 125 II 86 consid. 5b p. 97 et les références).</w:t>
      </w:r>
    </w:p>
    <w:p>
      <w:r>
        <w:t>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p. 539; 133 II 353 consid. 1 p. 356).</w:t>
      </w:r>
    </w:p>
    <w:p>
      <w:r>
        <w:rPr>
          <w:b/>
        </w:rPr>
        <w:t>E. 1.2.2</w:t>
      </w:r>
    </w:p>
    <w:p>
      <w:r>
        <w:t>En l'espèce, le recourant se borne à prétendre qu'il a qualité pour recourir, dès lors qu'il a succombé dans ses conclusions tirées de la violation du droit d'être entendu prises en instance cantonale. Une telle argumentation méconnaît la jurisprudence précitée. Il résulte en effet de l'arrêt entrepris que la décision du 11 juillet 2014 du Tribunal de protection a fait l'objet d'un recours tant de la mère que du père. Dirigés contre la même décision, les deux recours étaient étroitement connexes, ce d'autant que le père invoquait une violation de son droit d'être entendu, grief de nature formel qui devait être traité en premier. La Chambre de surveillance a toutefois suspendu l'instruction du recours du père, motif pris que la question de l'avance de frais était en suspens du fait de la procédure relative à la demande d'assistance judiciaire pendante. Elle a en revanche poursuivi celle du recours de la mère, au point qu'elle a statué en premier sur ce dernier recours. Il n'apparaît pas que le recourant se soit opposé à cette manière de faire, par exemple en demandant la suspension de cette dernière procédure. Il n'a pas non plus recouru contre la décision du 8 décembre 2014 qui a modifié la réglementation du droit de visite instaurée par l'ordonnance du 11 juillet 2014. Dans de telles conditions, quand bien même devrait-on admettre que la Chambre de surveillance aurait nié à tort une violation du droit d'être entendu du recourant, le préjudice ne pourrait plus être réparé par une annulation de l'ordonnance du 11 juillet 2014 et un renvoi pour instruction complémentaire, ce dernier prononcé ayant été modifié par la décision - en force - du 8 décembre 2014 (cf. FELIX ADDOR, Die Gegenstandslosigkeit des Rechtsstreits, 1997, p. 133, qui qualifie de tels cas de " Fälle der prozessualen Überholung "). Le contrôle sous l'angle du droit d'être entendu ne constituerait plus qu'un débat sur des motifs ( ATF 115 II 300 consid. 2b p. 302; 130 III 321 consid. 6 p. 328); or, la nature formelle de la garantie invoquée ne saurait pallier l'absence d'intérêt ( ATF 123 II 285 consid. 4a p. 287; arrêt 5A_58/2009 du 28 septembre 2009 consid. 2.3 publié in Pra 2010 n</w:t>
      </w:r>
    </w:p>
    <w:p>
      <w:r>
        <w:t>o 115 p. 777).</w:t>
      </w:r>
    </w:p>
    <w:p>
      <w:r>
        <w:t>Il appert de ce qui précède que le recourant n'a plus d'intérêt actuel à obtenir l'annulation de la décision attaquée et que cet intérêt n'existait déjà plus au moment où il avait formé le présent recours.</w:t>
      </w:r>
    </w:p>
    <w:p>
      <w:r>
        <w:t>Par ailleurs, les conditions auxquelles la jurisprudence fédérale subordonne la recevabilité du recours contre le prononcé sur les frais lorsqu'il n'est pas possible d'entrer en matière sur les griefs soulevés dans le recours ne sont pas non plus réalisées en l'espèce (cf. arrêt 4A_134/2012 du 16 juillet 2012 consid. 3).</w:t>
      </w:r>
    </w:p>
    <w:p>
      <w:r>
        <w:rPr>
          <w:b/>
        </w:rPr>
        <w:t>E. 2</w:t>
      </w:r>
    </w:p>
    <w:p>
      <w:r>
        <w:t>Cela étant, le recours doit être déclaré irrecevable (cf. supra, consid. 1.2.1). Compte tenu des circonstances, il est statué sans frais ( art. 66 al. 1 LTF ), la demande d'assistance judiciaire du recourant devenant ainsi sans objet.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