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5A_163/2020 vom 28. Februar 2020</w:t>
      </w:r>
    </w:p>
    <w:p>
      <w:r>
        <w:t>Bundesgericht, 2020-02-28, DE</w:t>
      </w:r>
    </w:p>
    <w:p>
      <w:r>
        <w:rPr>
          <w:b/>
        </w:rPr>
        <w:t xml:space="preserve">Quelle: </w:t>
      </w:r>
      <w:r>
        <w:t>https://mcp.opencaselaw.ch/entscheid/bger_5A_163_2020</w:t>
      </w:r>
    </w:p>
    <w:p>
      <w:r>
        <w:t>FR: TF 5A_163/2020 du 28 février 2020</w:t>
      </w:r>
    </w:p>
    <w:p>
      <w:r>
        <w:t>IT: TF 5A_163/2020 del 28 febbraio 2020</w:t>
      </w:r>
    </w:p>
    <w:p>
      <w:pPr>
        <w:pStyle w:val="Heading2"/>
      </w:pPr>
      <w:r>
        <w:t>Erwägungen</w:t>
      </w:r>
    </w:p>
    <w:p>
      <w:r>
        <w:rPr>
          <w:b/>
        </w:rPr>
        <w:t>E. 1</w:t>
      </w:r>
    </w:p>
    <w:p>
      <w:r>
        <w:t>Der Kostenentscheid weist einen Streitwert von weniger als Fr. 30'000.-- auf, so dass die Beschwerde in Zivilsachen an sich nicht gegeben ist ( Art. 74 Abs. 1 lit. b BGG ). Die Beschwerdeführerin behauptet indes eine Rechtsfrage von grundsätzlicher Bedeutung dahingehend, dass zu klären sei, "dass die Verfassung und der Schutz des Eigentums (Wohlergehen des Nachlasses) gemäss Art. 26 der Bundesverfassung über dem Vetorecht eines einzelnen Erben steht." Was sich die Beschwerdeführerin darunter genau vorstellt, ist schwierig nachzuvollziehen; soweit die Ausführungen verständlich sind, geht es der Beschwerdeführerin offenbar darum, dass im Nachlasssachen kein Einstimmigkeitsprinzip herrschen sollte. Inwiefern diesbezüglich im Zusammenhang mit den Kostenfolgen aus der Klageanerkennung betreffend Eintragung eines Pfandrechtes eine der einheitlichen Rechtsanwendung dienende verallgemeinerungsfähige Klärung einer bislang umstrittenen Rechtsfrage vorliegen soll (vgl. zu den Voraussetzungen von Art. 74 Abs. 2 lit. a BGG namentlich BGE 141 III 159 E. 1.2 S. 161; 144 III 164 E. 1 S. 165), ist nicht ersichtlich.</w:t>
      </w:r>
    </w:p>
    <w:p>
      <w:r>
        <w:rPr>
          <w:b/>
        </w:rPr>
        <w:t>E. 2</w:t>
      </w:r>
    </w:p>
    <w:p>
      <w:r>
        <w:t>Mithin steht einzig die subsidiäre Verfassungsbeschwerde zur Verfügung ( Art. 113 BGG ). Mit ihr kann nur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t>Die Ausführungen in der Beschwerde genügen diesen Anforderungen nicht. Sie bleiben, auch wenn pauschal verfassungsmässige Rechte angerufen werden (namentlich Rechtsgleichheit und Eigentumsgarantie), appellatorisch und sind in der Sache kaum nachvollziehbar. Offenbar möchte die Beschwerdeführerin behaupten, dass ihre Schwester die Alleinschuld an allem trage, weil sie einer Darlehensaufnahme zur Begleichung der Ausstände nicht zugestimmt habe; deshalb sei sie (Beschwerdeführerin) völlig unschuldig in einen Prozess hineingezogen worden. All dies geht aber an der Sachverhaltsfeststellung im angefochtenen Entscheid vorbei, wonach die Beschwerdeführerin in ihrer Stellungnahme vom 6. Februar 2019 verlangt hat, es sei keine definitive Eintragung vorzunehmen und die vorläufige Eintragung im Grundbuch sei zu löschen. Inwiefern eine Verfassungsverletzung vorliegen soll, wenn vor diesem Hintergrund zufolge späterer Klageanerkennung auch sie für kostenpflichtig erklärt wurde, ist aus der Begründung, es gehe um "das wirtschaftliche Überleben unzähliger Nachlässe in der Schweiz, allen voran KMU's," nicht ersichtlich.</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Entscheid in der Sache wird das Gesuch um aufschiebende Wirkung gegenstandslos.</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