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163/2007 vom 2. August 2007</w:t>
      </w:r>
    </w:p>
    <w:p>
      <w:r>
        <w:t>Bundesgericht, 2007-08-02, FR</w:t>
      </w:r>
    </w:p>
    <w:p>
      <w:r>
        <w:rPr>
          <w:b/>
        </w:rPr>
        <w:t xml:space="preserve">Quelle: </w:t>
      </w:r>
      <w:r>
        <w:t>https://mcp.opencaselaw.ch/entscheid/bger_5A_163_2007</w:t>
      </w:r>
    </w:p>
    <w:p>
      <w:r>
        <w:t>FR: TF 5A 163/2007 du 2 août 2007</w:t>
      </w:r>
    </w:p>
    <w:p>
      <w:r>
        <w:t>IT: TF 5A 163/2007 del 2 agosto 2007</w:t>
      </w:r>
    </w:p>
    <w:p>
      <w:pPr>
        <w:pStyle w:val="Heading2"/>
      </w:pPr>
      <w:r>
        <w:t>Regeste</w:t>
      </w:r>
    </w:p>
    <w:p>
      <w:r>
        <w:t>reddition d'un rapport de tutelle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Met un émolument judiciaire de 500 fr. à la charge de la recourante.</w:t>
      </w:r>
    </w:p>
    <w:p>
      <w:r>
        <w:rPr>
          <w:b/>
        </w:rPr>
        <w:t>E. 3</w:t>
      </w:r>
    </w:p>
    <w:p>
      <w:r>
        <w:t>Dit qu'il n'est pas alloué de dépens.</w:t>
      </w:r>
    </w:p>
    <w:p>
      <w:r>
        <w:rPr>
          <w:b/>
        </w:rPr>
        <w:t>E. 4</w:t>
      </w:r>
    </w:p>
    <w:p>
      <w:r>
        <w:t>Communique le présent arrêt en copie aux parties et à la Chambre civile de la Cour de justice du canton de Genève. Lausanne, le 2 août 2007 Au nom de la IIe Cour de droit civil du Tribunal fédéral suisse Le président: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