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162/2024 vom 8. März 2024</w:t>
      </w:r>
    </w:p>
    <w:p>
      <w:r>
        <w:t>Bundesgericht, 2024-03-08, DE</w:t>
      </w:r>
    </w:p>
    <w:p>
      <w:r>
        <w:rPr>
          <w:b/>
        </w:rPr>
        <w:t xml:space="preserve">Quelle: </w:t>
      </w:r>
      <w:r>
        <w:t>https://mcp.opencaselaw.ch/entscheid/bger_5A_162_2024</w:t>
      </w:r>
    </w:p>
    <w:p>
      <w:r>
        <w:t>FR: TF 5A 162/2024 du 8 mars 2024</w:t>
      </w:r>
    </w:p>
    <w:p>
      <w:r>
        <w:t>IT: TF 5A 162/2024 del 8 marzo 2024</w:t>
      </w:r>
    </w:p>
    <w:p>
      <w:pPr>
        <w:pStyle w:val="Heading2"/>
      </w:pPr>
      <w:r>
        <w:t>Regeste</w:t>
      </w:r>
    </w:p>
    <w:p>
      <w:r>
        <w:t>Superprovisorische Massnahme | Familienrecht</w:t>
      </w:r>
    </w:p>
    <w:p>
      <w:pPr>
        <w:pStyle w:val="Heading2"/>
      </w:pPr>
      <w:r>
        <w:t>Erwägungen</w:t>
      </w:r>
    </w:p>
    <w:p>
      <w:r>
        <w:rPr>
          <w:b/>
        </w:rPr>
        <w:t>E. 1</w:t>
      </w:r>
    </w:p>
    <w:p>
      <w:r>
        <w:t>Angefochten ist eine Verfügung betreffend Kindesbelange, mit welcher ein superprovisorischer Antrag abgewiesen und der Gegenpartei Frist zur Stellungnahme angesetzt wurde.</w:t>
      </w:r>
    </w:p>
    <w:p>
      <w:r>
        <w:rPr>
          <w:b/>
        </w:rPr>
        <w:t>E. 2</w:t>
      </w:r>
    </w:p>
    <w:p>
      <w:r>
        <w:t>Entscheide über superprovisorische Massnahmen sind grundsätzlich nicht mit Beschwerde beim Bundesgericht anfechtbar, da es an der Ausschöpfung des kantonalen Instanzenzuges und damit an einem kantonal letztinstanzlichen Entscheid im Sinn von Art. 75 Abs. 1 BGG mangelt; vorerst ist das kontradiktorische Massnahmeverfahren vor dem Kantonsgericht zu durchlaufen, in welchem der angestrebte vorläufige Rechtsschutz erwirkt werden kann ( BGE 137 III 417 E. 1.2; 139 III 516 E. 1.1; 140 III 289 E. 1.1). Insofern liegt weder ein nicht wiedergutzumachender Nachteil im Sinn von Art. 93 Abs. 1 lit. a BGG vor (Urteil 4A_242/2011 vom 13. Mai 2011 E. 1.4) noch ist das für die Beschwerdeführung vor dem Bundesgericht erforderliche Rechtsschutz-interesse gegeben ( BGE 137 III 417 E. 1.4). Weil keine Beschwerdemöglichkeit besteht, ist die vorliegend angefochtene Verfügung denn auch weder mit einer Rechtsmittelbelehrung noch mit einer Begründung versehen, so dass im Übrigen eine darauf Bezug nehmende Beschwerdebegründung ebenso wenig möglich ist wie eine bundesgerichtliche Beurteilung des angefochtenen Aktes.</w:t>
      </w:r>
    </w:p>
    <w:p>
      <w:r>
        <w:rPr>
          <w:b/>
        </w:rPr>
        <w:t>E. 3</w:t>
      </w:r>
    </w:p>
    <w:p>
      <w:r>
        <w:t>Nach dem Gesagten erweist sich die Beschwerde als offensichtlich unzulässig, weshalb auf sie nicht eingetreten werden kann und der Präsident im vereinfachten Verfahren entscheidet ( Art. 108 Abs. 1 lit. a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