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161/2024 vom 3. Mai 2024</w:t>
      </w:r>
    </w:p>
    <w:p>
      <w:r>
        <w:t>Bundesgericht, 2024-05-03, DE</w:t>
      </w:r>
    </w:p>
    <w:p>
      <w:r>
        <w:rPr>
          <w:b/>
        </w:rPr>
        <w:t xml:space="preserve">Quelle: </w:t>
      </w:r>
      <w:r>
        <w:t>https://mcp.opencaselaw.ch/entscheid/bger_5A_161_2024</w:t>
      </w:r>
    </w:p>
    <w:p>
      <w:r>
        <w:t>FR: TF 5A 161/2024 du 3 mai 2024</w:t>
      </w:r>
    </w:p>
    <w:p>
      <w:r>
        <w:t>IT: TF 5A 161/2024 del 3 maggio 2024</w:t>
      </w:r>
    </w:p>
    <w:p>
      <w:pPr>
        <w:pStyle w:val="Heading2"/>
      </w:pPr>
      <w:r>
        <w:t>Regeste</w:t>
      </w:r>
    </w:p>
    <w:p>
      <w:r>
        <w:t>Rechtsverzögerung (Ehescheidung)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Zusammenhang mit Zivilverfahren vor oberen kantonalen Instanzen kann beim Bundesgericht jederzeit Rechtsverzögerungsbeschwerde eingereicht werden ( Art. 72 Abs. 1 und Art. 100 Abs. 7 BGG ).</w:t>
      </w:r>
    </w:p>
    <w:p>
      <w:r>
        <w:rPr>
          <w:b/>
        </w:rPr>
        <w:t>E. 2</w:t>
      </w:r>
    </w:p>
    <w:p>
      <w:r>
        <w:t>Nachdem das Obergericht in der Sache selbst entschieden hat, ist die Rechtsverzögerungsbeschwerde gegenstandslos geworden und das diesbezügliche bundesgerichtliche Verfahren ist als erledigt abzuschreiben.</w:t>
      </w:r>
    </w:p>
    <w:p>
      <w:r>
        <w:rPr>
          <w:b/>
        </w:rPr>
        <w:t>E. 3</w:t>
      </w:r>
    </w:p>
    <w:p>
      <w:r>
        <w:t>Für die Verfahrensabschreibung zufolge Gegenstandslosigkeit ist der Abteilungspräsident zuständig ( Art. 32 Abs. 2 BGG ).</w:t>
      </w:r>
    </w:p>
    <w:p>
      <w:r>
        <w:rPr>
          <w:b/>
        </w:rPr>
        <w:t>E. 4</w:t>
      </w:r>
    </w:p>
    <w:p>
      <w:r>
        <w:t>Der Beschwerdeführer hatte begründeten Anlass, eine Rechtsverzögerungsbeschwere einzureichen, nachdem am 9. Juni 2023 die Duplik eingegangen und damit der Schriftenwechsel abgeschlossen war, weshalb es sich rechtfertigt, keine Gerichtskosten zu erheben ( Art. 66 Abs. 4 und Art. 71 BGG i.V.m. Art. 72 BZP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