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5A_160/2025 vom 25. Februar 2025</w:t>
      </w:r>
    </w:p>
    <w:p>
      <w:r>
        <w:t>Bundesgericht, 2025-02-25, DE</w:t>
      </w:r>
    </w:p>
    <w:p>
      <w:r>
        <w:rPr>
          <w:b/>
        </w:rPr>
        <w:t xml:space="preserve">Quelle: </w:t>
      </w:r>
      <w:r>
        <w:t>https://mcp.opencaselaw.ch/entscheid/bger_5A_160_2025</w:t>
      </w:r>
    </w:p>
    <w:p>
      <w:r>
        <w:t>FR: TF 5A_160/2025 du 25 février 2025</w:t>
      </w:r>
    </w:p>
    <w:p>
      <w:r>
        <w:t>IT: TF 5A_160/2025 del 25 febbraio 2025</w:t>
      </w:r>
    </w:p>
    <w:p>
      <w:pPr>
        <w:pStyle w:val="Heading2"/>
      </w:pPr>
      <w:r>
        <w:t>Erwägungen</w:t>
      </w:r>
    </w:p>
    <w:p>
      <w:r>
        <w:rPr>
          <w:b/>
        </w:rPr>
        <w:t>E. 1</w:t>
      </w:r>
    </w:p>
    <w:p>
      <w:r>
        <w:t>Am 18. Februar 2025 erhob der Beschwerdeführer beim Obergericht des Kantons Bern eine Beschwerde, die sich offenbar gegen eine Pfändung oder allenfalls eine Pfändungsankündigung durch das Betreibungsamt Emmental-Oberaargau, Dienststelle Oberaargau, richtet. Mit Verfügung vom 19. Februar 2025 erteilte das Obergericht der Beschwerde insoweit aufschiebende Wirkung, als die Verteilung der eingehenden Lohnpfändungsbetreffnisse bzw. Verwertungshandlungen bis auf weiteres zu unterbleiben haben. Soweit weitergehend wies es das Gesuch um aufschiebende Wirkung bzw. Sistierung ab. Gegen diese Verfügung hat der Beschwerdeführer am 24. Februar 2025 Beschwerde in Zivilsachen an das Bundesgericht erhoben.</w:t>
      </w:r>
    </w:p>
    <w:p>
      <w:r>
        <w:rPr>
          <w:b/>
        </w:rPr>
        <w:t>E. 2</w:t>
      </w:r>
    </w:p>
    <w:p>
      <w:r>
        <w:t>Angefochten ist eine Verfügung über die aufschiebende Wirkung. Die vom Obergericht erwähnte und vom Beschwerdeführer verlangte Sistierung der Lohnpfändung bis zum Entscheid in der Hauptsache hat keine darüber hinausgehende Bedeutung. Der Entscheid über die aufschiebende Wirkung ist eine vorsorgliche Massnahme im Sinne von Art. 98 BGG ( BGE 134 II 192 E. 1.5; 137 III 475 E. 2), womit nur die Verletzung verfassungsmässiger Rechte gerügt werden kann. Verfassungsrügen müssen gemäss dem strengen Rügeprinzip von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 Der Beschwerdeführer legt nicht dar, inwiefern die angefochtene Verfügung verfassungsmässige Rechte verletzen soll. Am Rande erwähnt er einzig eine Verletzung der Rechtsweggarantie nach Art. 29 BV (recte: Art. 29a BV ), ohne dies hinreichend zu begründen. Er behauptet zwar, die Fortsetzung der Pfändung bedeute, dass seine (kantonale) Beschwerde keinen effektiven Rechtsschutz biete. Weshalb dies der Fall sein soll, legt er jedoch nicht im Einzelnen dar. Die Beschwerde enthält offensichtlich keine hinreichende Begründung. Der Abteilungspräsident tritt auf sie im vereinfachten Verfahren nicht ein ( Art. 108 Abs. 1 lit. b BGG ). Der Beschwerdeführer beantragt eine Anordnung an das Betreibungsamt, bis zum Entscheid des Bundesgerichts jegliche neue Pfändung zu unterlassen. Soweit dies als Gesuch um eine vorsorgliche Massnahme im vorliegenden bundesgerichtlichen Verfahren aufzufassen ist, wird das Gesuch mit dem vorliegenden Entscheid gegenstandslos.</w:t>
      </w:r>
    </w:p>
    <w:p>
      <w:r>
        <w:rPr>
          <w:b/>
        </w:rPr>
        <w:t>E. 3</w:t>
      </w:r>
    </w:p>
    <w:p>
      <w:r>
        <w:t>Bei diesem Ausgang des Verfahrens trägt der Beschwerdeführer die Gerichtskosten ( Art. 66 Abs. 1 BGG ). Wie die vorstehenden Erwägungen zeigen, war die Beschwerde von vornherein aussichtslos. Das Gesuch um unentgeltliche Rechtspflege ist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