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5A_160/2019 vom 28. Februar 2019</w:t>
      </w:r>
    </w:p>
    <w:p>
      <w:r>
        <w:t>Bundesgericht, 2019-02-28, DE</w:t>
      </w:r>
    </w:p>
    <w:p>
      <w:r>
        <w:rPr>
          <w:b/>
        </w:rPr>
        <w:t xml:space="preserve">Quelle: </w:t>
      </w:r>
      <w:r>
        <w:t>https://mcp.opencaselaw.ch/entscheid/bger_5A_160_2019</w:t>
      </w:r>
    </w:p>
    <w:p>
      <w:r>
        <w:t>FR: TF 5A_160/2019 du 28 février 2019</w:t>
      </w:r>
    </w:p>
    <w:p>
      <w:r>
        <w:t>IT: TF 5A_160/2019 del 28 febbraio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Der Beschwerdeführer hält einzig fest, dass es nicht in seinem Interesse liege, das Geld zu verjubeln, und er absolut in der Lage sei, sein Vermögen selbst zu verwalten. Er setzt sich nicht mit den ausführlichen Erwägungen des Verwaltungsgerichtes zur Notwendigkeit der bestehenden erwachsenenschutzrechtlichen Massnahme auseinander. Insbesondere äussert er sich nicht zur zentralen Erwägung, dass im vorangehenden Beschwerdeverfahren seinem Anliegen, wonach es keiner Beistandschaft bedürfe, dahingehend Rechnung getragen wurde, dass der Beistand eingeladen worden sei, versuchsweise während einer gewissen Zeit eine höhere verfügbare Quote zur Verfügung zu stellen, damit der Beschwerdeführer den Tatbeweis erbringen könne, die verfügbaren Mittel zweckmässig zu verwenden, wobei dieser Versuch (was im angefochtenen Entscheid ausführlich geschildert wird) gescheitert sei.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