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5A_160/2018 vom 15. Februar 2018</w:t>
      </w:r>
    </w:p>
    <w:p>
      <w:r>
        <w:t>Bundesgericht, 2018-02-15, FR</w:t>
      </w:r>
    </w:p>
    <w:p>
      <w:r>
        <w:rPr>
          <w:b/>
        </w:rPr>
        <w:t xml:space="preserve">Quelle: </w:t>
      </w:r>
      <w:r>
        <w:t>https://mcp.opencaselaw.ch/entscheid/bger_5A_160_2018</w:t>
      </w:r>
    </w:p>
    <w:p>
      <w:r>
        <w:t>FR: TF 5A_160/2018 du 15 février 2018</w:t>
      </w:r>
    </w:p>
    <w:p>
      <w:r>
        <w:t>IT: TF 5A_160/2018 del 15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29 janvier 2018, la Chambre de surveillance de la Cour de justice du canton de Genève a déclaré irrecevable, pour cause de tardiveté, le recours formé le 18 décembre 2017 par A.________ contre l'ordonnance rendue le 10 octobre 2017 par le Tribunal de protection de l'adulte et de l'enfant instituant une curatelle de représentation et de gestion en faveur de A.________ et désignant B.________, avocat, en qualité de curateur.</w:t>
      </w:r>
    </w:p>
    <w:p>
      <w:r>
        <w:rPr>
          <w:b/>
        </w:rPr>
        <w:t>E. 2</w:t>
      </w:r>
    </w:p>
    <w:p>
      <w:r>
        <w:t>Par lettre datée du 10 février 2018 et remise à la Poste suisse le 13 février 2018, A.________ exerce un recours en matière civile au Tribunal fédéral, affirmant qu' " une contrexpertise psychiatrique [ a] été demandée par Avv. C.________ " et " acceptée par le tribunal ainsi qu'un ajournement ".</w:t>
      </w:r>
    </w:p>
    <w:p>
      <w:r>
        <w:t>A la lecture de son écriture, il apparaît que le recourant ne soulève aucun grief,</w:t>
      </w:r>
    </w:p>
    <w:p>
      <w:r>
        <w:t>a fortiori à l'encontre de la décision d'irrecevabilité pour cause de tardiveté déférée. Il s'ensuit que le présent recours, qui ne correspond pas aux exigences minimales de motivation des art. 42 al. 2 et 106 al. 2 LTF, doit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Les frais judiciaires, arrêtés à 300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