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5A_15/2024 vom 21. März 2024</w:t>
      </w:r>
    </w:p>
    <w:p>
      <w:r>
        <w:t>Bundesgericht, 2024-03-21, DE</w:t>
      </w:r>
    </w:p>
    <w:p>
      <w:r>
        <w:rPr>
          <w:b/>
        </w:rPr>
        <w:t xml:space="preserve">Quelle: </w:t>
      </w:r>
      <w:r>
        <w:t>https://mcp.opencaselaw.ch/entscheid/bger_5A_15_2024</w:t>
      </w:r>
    </w:p>
    <w:p>
      <w:r>
        <w:t>FR: TF 5A_15/2024 du 21 mars 2024</w:t>
      </w:r>
    </w:p>
    <w:p>
      <w:r>
        <w:t>IT: TF 5A_15/2024 del 21 marzo 2024</w:t>
      </w:r>
    </w:p>
    <w:p>
      <w:pPr>
        <w:pStyle w:val="Heading2"/>
      </w:pPr>
      <w:r>
        <w:t>Erwägungen</w:t>
      </w:r>
    </w:p>
    <w:p>
      <w:r>
        <w:rPr>
          <w:b/>
        </w:rPr>
        <w:t>E. 1</w:t>
      </w:r>
    </w:p>
    <w:p>
      <w:r>
        <w:t>Das Bundesgericht prüft von Amtes wegen und mit freier Kognition, ob eine bei ihm eingereichte Beschwerde zulässig ist ( BGE 148 IV 155 E. 1.1; 143 III 140 E. 1; 141 III 395 E. 2.1).</w:t>
      </w:r>
    </w:p>
    <w:p>
      <w:r>
        <w:rPr>
          <w:b/>
        </w:rPr>
        <w:t>E. 1.1</w:t>
      </w:r>
    </w:p>
    <w:p>
      <w:r>
        <w:t>Die eingereichte Beschwerde richtet sich gegen den Entscheid, mit dem das Obergericht als letzte kantonale Instanz ( Art. 75 Abs. 1 und 2 BGG ) über das Gesuch um vorläufige Einstellung der Betreibung befunden hat. Die vom Obergericht bestätigte vorläufige Einstellung der Betreibung nach Art. 85a Abs. 2 SchKG schliesst das Hauptverfahren über die Feststellung des Nichtbestands der vom Beschwerdeführer gegen den Beschwerdegegner in Betreibung gesetzten Forderung und über die Aufhebung der Betreibung nicht im Sinne von Art. 90 BGG ab. Es handelt sich vielmehr um einen selbstständig eröffneten Massnahmenentscheid, der während des Hauptverfahrens erlassen wurde und nur für die Dauer des Hauptverfahrens Bestand hat. Als solcher stellt er einen Zwischenentscheid im Sinne von Art. 93 BGG dar ( BGE 144 III 475 E. 1.1.1; 138 III 76 E. 1.2, 333 E. 1.2; 137 III 324 E. 1.1; Urteil 4A_552/2021 vom 28. Dezember 2021 E. 1.1).</w:t>
      </w:r>
    </w:p>
    <w:p>
      <w:r>
        <w:rPr>
          <w:b/>
        </w:rPr>
        <w:t>E. 1.2</w:t>
      </w:r>
    </w:p>
    <w:p>
      <w:r>
        <w:t>Gegen selbständig eröffnete Zwischenentscheide, die weder die Zuständigkeit noch den Ausstand betreffen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Bei Zwischenentscheiden betreffend vorsorgliche Massnahmen fällt dabei die Zulässigkeit der Beschwerde nach Art. 93 Abs. 1 lit. b BGG allgemein ausser Betracht ( BGE 144 III 475 E. 1.2).</w:t>
      </w:r>
    </w:p>
    <w:p>
      <w:r>
        <w:rPr>
          <w:b/>
        </w:rPr>
        <w:t>E. 1.3</w:t>
      </w:r>
    </w:p>
    <w:p>
      <w:r>
        <w:t>Der nicht wieder gutzumachende Nachteil im Sinne von Art. 93 Abs. 1 lit. a BGG muss ein Nachteil rechtlicher Natur sein, der auch durch einen für die beschwerdeführende Partei günstigen Entscheid in der Zukunft nicht mehr behoben werden kann ( BGE 144 III 475 E. 1.2; 143 III 416 E. 1.3; 141 III 80 E. 1.2; je mit Hinweisen). Rein tatsächliche Nachteile wie die Verlängerung oder Verteuerung des Verfahrens reichen nicht aus ( BGE 147 III 159 E. 4.1; 144 III 475 E. 1.2; 142 III 798 E. 2.2; je mit Hinweisen). Die selbständige Anfechtbarkeit von Zwischenentscheiden bildet aus prozessökonomischen Gründen eine Ausnahme vom Grundsatz, dass sich das Bundesgericht mit jeder Angelegenheit nur einmal befassen soll ( BGE 144 III 475 E. 1.2; 142 III 798 E. 2.2; 141 III 80 E. 1.2). Die Ausnahme ist restriktiv zu handhaben ( BGE 144 III 475 E. 1.2; 138 III 94 E. 2.2). Es obliegt der beschwerdeführenden Partei darzutun, dass die Voraussetzungen von Art. 93 Abs. 1 BGG erfüllt sind, soweit deren Vorliegen nicht offensichtlich in die Augen springt ( BGE 147 III 159 E. 4.1; 142 III 798 E. 2.2; 141 III 80 E. 1.2; 137 III 324 E. 1.1). Namentlich obliegt es der Partei, die einen Massnahmenentscheid anficht, in der Beschwerdebegründung aufzuzeigen, inwiefern ihr im konkreten Fall ein nicht wieder gutzumachender Nachteil rechtlicher Natur droht ( BGE 144 III 475 E. 1.2; 137 III 324 E. 1.1).</w:t>
      </w:r>
    </w:p>
    <w:p>
      <w:r>
        <w:rPr>
          <w:b/>
        </w:rPr>
        <w:t>E. 1.4</w:t>
      </w:r>
    </w:p>
    <w:p>
      <w:r>
        <w:t>Entgegen der Auffassung des Beschwerdeführers lässt sich ein nicht wieder gutzumachender Nachteil rechtlicher Natur ( Art. 93 Abs. 1 lit. a BGG ) nicht daraus ableiten, dass der angefochtene Entscheid mit einer Verzögerung der vom Beschwerdeführer angestrebten Verwertung verbunden ist, zumal es sich bei der Verlängerung des Verfahrens nach der Rechtsprechung um einen rein tatsächlichen Nachteil handelt, der keine sofortige Anfechtung rechtfertigt ( BGE 147 III 159 E. 4.1; 144 III 475 E. 1.2; 142 III 798 E. 2.2; je mit Hinweisen). Bloss in pauschaler Weise behauptet der Beschwerdeführer sodann, die vorliegende "Verwertungssperre" würde bei ihm über die Dauer zu einem Liquidationsengpass führen, indem er bereits geplante Investitionen nicht tätigen und bestehenden Verpflichtungen nicht nachkommen könnte, was seine Reputation als Geschäftsmann tangieren würde. Auch diese nicht weiter substanziierten Vorbringen genügen nicht, um einen nicht wieder gutzumachenden Nachteil im Sinne der dargelegten Rechtsprechung darzutun (vgl. E. 1.3 hiervor).</w:t>
      </w:r>
    </w:p>
    <w:p>
      <w:r>
        <w:t>Auf die Beschwerde in Zivilsachen ist demnach nicht einzutreten.</w:t>
      </w:r>
    </w:p>
    <w:p>
      <w:r>
        <w:rPr>
          <w:b/>
        </w:rPr>
        <w:t>E. 2</w:t>
      </w:r>
    </w:p>
    <w:p>
      <w:r>
        <w:t>Bei diesem Verfahrensausgang sind die Gerichtskosten dem Beschwerdeführer aufzuerlegen ( Art. 66 Abs. 1 BGG ). Dem Beschwerdegegner ist keine Parteientschädigung zuzusprechen, da ihm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