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159/2010 vom 7. Januar 2011</w:t>
      </w:r>
    </w:p>
    <w:p>
      <w:r>
        <w:t>Bundesgericht, 2011-01-07, DE</w:t>
      </w:r>
    </w:p>
    <w:p>
      <w:r>
        <w:rPr>
          <w:b/>
        </w:rPr>
        <w:t xml:space="preserve">Quelle: </w:t>
      </w:r>
      <w:r>
        <w:t>https://mcp.opencaselaw.ch/entscheid/bger_5A_159_2010</w:t>
      </w:r>
    </w:p>
    <w:p>
      <w:r>
        <w:t>FR: TF 5A 159/2010 du 7 janvier 2011</w:t>
      </w:r>
    </w:p>
    <w:p>
      <w:r>
        <w:t>IT: TF 5A 159/2010 del 7 gennaio 2011</w:t>
      </w:r>
    </w:p>
    <w:p>
      <w:pPr>
        <w:pStyle w:val="Heading2"/>
      </w:pPr>
      <w:r>
        <w:t>Regeste</w:t>
      </w:r>
    </w:p>
    <w:p>
      <w:r>
        <w:t>Rechtsöffnung | Schuldbetreibungs- und Konkursrecht</w:t>
      </w:r>
    </w:p>
    <w:p>
      <w:pPr>
        <w:pStyle w:val="Heading2"/>
      </w:pPr>
      <w:r>
        <w:t>Erwägungen</w:t>
      </w:r>
    </w:p>
    <w:p>
      <w:r>
        <w:rPr>
          <w:b/>
        </w:rPr>
        <w:t>E. 1</w:t>
      </w:r>
    </w:p>
    <w:p>
      <w:r>
        <w:t>Angefochten ist ein Rekursentscheid des Obergerichts des Kantons Zürich betreffend definitive Rechtsöffnung, mit dem vorfrageweise über die Anerkennung eines ausländischen Urteils befunden worden ist. Damit liegt ein Endentscheid über eine Schuldbetreibungs- und Konkurssache im Sinn von Art. 72 Abs. 2 lit. a BGG vor ( Art. 90 BGG ; Urteil 5A_840/2009 vom 30. April 2010 E. 1). Obwohl das Betreibungsverfahren aufgrund des Entscheides des Arbeitsgerichts Koblenz über eine arbeitsrechtliche Forderung eingeleitet worden ist, liegt keine vermögensrechtliche Streitigkeit im Sinn von Art. 74 Abs. 1 lit. a BGG mit einem Streitwerterfordernis von Fr. 15'000.-- vor ( BGE 135 III 470 E. 1.2 S. 472 f.; Urteil 5D_155/2009 vom 9. Dezember 2009, die definitive Rechtsöffnung über eine arbeitsrechtliche Forderung betreffend). Vor Obergericht waren Fr. 27'581.-- und somit weniger als Fr. 30'000.-- streitig ( Art. 74 Abs. 1 lit. b BGG ). Die Beschwerde in Zivilsachen ist folglich nur zulässig, wenn sich eine Rechtsfrage von grundsätzlicher Bedeutung stellt ( Art. 74 Abs. 2 lit. a BGG ), was die Beschwerdeführerin zwar behauptet, aber nicht den Anforderungen von Art. 42 Abs. 2 BGG entsprechend begründet (zur Begründungspflicht: BGE 133 III 645 E. 2.4 S. 648). Auf die Beschwerde ist somit im Verfahren nach Art. 109 Abs. 1 BGG nicht einzutreten.</w:t>
      </w:r>
    </w:p>
    <w:p>
      <w:r>
        <w:rPr>
          <w:b/>
        </w:rPr>
        <w:t>E. 2</w:t>
      </w:r>
    </w:p>
    <w:p>
      <w:r>
        <w:t>Die Beschwerdeführerin legt nicht dar, welche verfassungsmässigen Rechte und inwiefern die Vorinstanz solche Rechte verletzt haben soll. Da die vorliegende Eingabe somit die qualifizierten Begründungsanforderungen nicht erfüllt ( Art. 106 BGG ), die an die subsidiäre Verfassungsbeschwerde gestellt werden, kann sie auch nicht als solche entgegengenommen werden ( BGE 133 II 396 E. 3.1 und 3.2).</w:t>
      </w:r>
    </w:p>
    <w:p>
      <w:r>
        <w:rPr>
          <w:b/>
        </w:rPr>
        <w:t>E. 3</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