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5A_158/2018 vom 19. Februar 2018</w:t>
      </w:r>
    </w:p>
    <w:p>
      <w:r>
        <w:t>Bundesgericht, 2018-02-19, DE</w:t>
      </w:r>
    </w:p>
    <w:p>
      <w:r>
        <w:rPr>
          <w:b/>
        </w:rPr>
        <w:t xml:space="preserve">Quelle: </w:t>
      </w:r>
      <w:r>
        <w:t>https://mcp.opencaselaw.ch/entscheid/bger_5A_158_2018</w:t>
      </w:r>
    </w:p>
    <w:p>
      <w:r>
        <w:t>FR: TF 5A_158/2018 du 19 février 2018</w:t>
      </w:r>
    </w:p>
    <w:p>
      <w:r>
        <w:t>IT: TF 5A_158/2018 del 19 febbraio 2018</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Der Beschwerdeführer stellt keine Begehren in der Sache, sondern Forderungen wie "meine vorigen Schreiben bleiben allesamt gültig", "hiermit erhebe ich Anspruch gegen die Verfügung von Frau B.________", "zusätzlich verlange ich eine kostenlose Kantons-unabhängige Untersuchung durch eine dedizierte Einheit des Bundes, die in schwerwiegenden unethischen Verhalten von Beamten spezialisiert ist", u.ä.m.</w:t>
      </w:r>
    </w:p>
    <w:p>
      <w:r>
        <w:t>Sodann ergibt sich aus den weitschweifigen Ausführungen (in welchen sich der Beschwerdeführer als geeignet zur Aufnahme von Kindern schildert, was allen bekannt sei, wobei man ihn aufgrund antimännlicher und kathophober Einstellung trotzdem diskriminiere) sowie den zahllosen strafrechtlichen Vorwürfen gegenüber den bisher involvierten Behörden- und Gerichtspersonen - wofür das Bundesgericht im Rahmen des vorliegenden Beschwerdeverfahrens von vornherein nicht zuständig ist - auch inhaltlich keine zielgerichtete Auseinandersetzung mit den ausführlichen Erwägungen des angefochtenen Entscheides.</w:t>
      </w:r>
    </w:p>
    <w:p>
      <w:r>
        <w:rPr>
          <w:b/>
        </w:rPr>
        <w:t>E. 3</w:t>
      </w:r>
    </w:p>
    <w:p>
      <w:r>
        <w:t>Nach dem Gesagten ist auf die Beschwerde im Verfahren nach Art. 108 Abs. 1 lit. b BGG nicht einzutreten.</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