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5A_157/2013 vom 21. Mai 2013</w:t>
      </w:r>
    </w:p>
    <w:p>
      <w:r>
        <w:t>Bundesgericht, 2013-05-21, DE</w:t>
      </w:r>
    </w:p>
    <w:p>
      <w:r>
        <w:rPr>
          <w:b/>
        </w:rPr>
        <w:t xml:space="preserve">Quelle: </w:t>
      </w:r>
      <w:r>
        <w:t>https://mcp.opencaselaw.ch/entscheid/bger_5A_157_2013</w:t>
      </w:r>
    </w:p>
    <w:p>
      <w:r>
        <w:t>FR: TF 5A_157/2013 du 21 mai 2013</w:t>
      </w:r>
    </w:p>
    <w:p>
      <w:r>
        <w:t>IT: TF 5A_157/2013 del 21 maggio 2013</w:t>
      </w:r>
    </w:p>
    <w:p>
      <w:pPr>
        <w:pStyle w:val="Heading2"/>
      </w:pPr>
      <w:r>
        <w:t>Erwägungen</w:t>
      </w:r>
    </w:p>
    <w:p>
      <w:r>
        <w:rPr>
          <w:b/>
        </w:rPr>
        <w:t>E. 1.1</w:t>
      </w:r>
    </w:p>
    <w:p>
      <w:r>
        <w:t>Angefochten ist ein Entscheid der kantonalen Aufsichtsbehörde, welche die Beurteilung einer Bestreitung des Lastenverzeichnisses zum Gegenstand hat. Entscheide kantonaler Aufsichtsbehörden in Schuldbetreibungs- und Konkurssachen unterliegen der Beschwerde in Zivilsachen ( Art. 72 Abs. 2 lit. a BGG i.V.m. Art. 19 SchKG ). Die vorliegende Beschwerde ist unabhängig von einer gesetzlichen Streitwertgrenze gegeben ( Art. 74 Abs. 2 lit. c BGG ). Die Beschwerde gegen den letztinstanzlichen Entscheid ist fristgemäss erhoben worden ( Art. 75 Abs. 1, Art. 100 Abs. 2 lit. a BGG ) und grundsätzlich zulässig.</w:t>
      </w:r>
    </w:p>
    <w:p>
      <w:r>
        <w:rPr>
          <w:b/>
        </w:rPr>
        <w:t>E. 1.2</w:t>
      </w:r>
    </w:p>
    <w:p>
      <w:r>
        <w:t>Soweit die Beschwerdeführerin die Aufhebung des erstinstanzlichen Urteils verlangt, ist sie zur Beschwerde nicht berechtigt ( Art. 76 Abs. 1 lit. b BGG ), weil die obere Aufsichtsbehörde die Aufhebung bereits entschieden hat und in diesem Punkt gar keine Abänderung des angefochtenen Urteils beantragt wird. Der weitere Antrag auf Feststellung, dass die formellen Voraussetzungen für einen Lastenbereinigungsprozess nicht gegeben seien, richtet sich gegen die Anweisung (Dispositivziff. 2) der oberen Aufsichtsbehörde an das Betreibungsamt, das Vorverfahren (Fristansetzung zur Klageanhebung bzw. Parteirollenverteilung) zum Lastenbereinigungsprozess weiterzuführen. In diesem Entscheidpunkt wird die Sache mit einer genauen Anweisung zu neuer Entscheidung an das Betreibungsamt zurückgewiesen, welche trotz seiner Natur als Zwischenentscheid ( Art. 93 BGG ) Gegenstand einer Beschwerde an das Bundesgericht sein kann ( BGE 134 III 136 E. 1.2 S. 138).</w:t>
      </w:r>
    </w:p>
    <w:p>
      <w:r>
        <w:rPr>
          <w:b/>
        </w:rPr>
        <w:t>E. 1.3</w:t>
      </w:r>
    </w:p>
    <w:p>
      <w:r>
        <w:t>Mit vorliegender Beschwerde kann u.a. die Verletzung von Bundesrecht gerügt werden ( Art. 95 lit. a BGG ). In der Beschwerdeschrift ist in gedrängter Form darzulegen, inwiefern der angefochtene Akt Recht verletzt ( Art. 42 Abs. 2 BGG ).</w:t>
      </w:r>
    </w:p>
    <w:p>
      <w:r>
        <w:rPr>
          <w:b/>
        </w:rPr>
        <w:t>E. 2</w:t>
      </w:r>
    </w:p>
    <w:p>
      <w:r>
        <w:t>Im Entscheid der unteren Aufsichtsbehörde wird u.a. ausgeführt, dass sich im konkreten Fall rechtfertige, "die Lastenbereinigung im Beschwerdeverfahren abschliessend abzuwickeln". Die obere Aufsichtsbehörde hat entschieden, dass ein streitiger Anspruch nicht im betreibungsrechtlichen Beschwerdeverfahren, sondern im gerichtlichen Verfahren abgeklärt werde, weshalb der erstinstanzliche Entscheid aufzuheben sei und das Betreibungsamt das Vorverfahren durchzuführen habe.</w:t>
      </w:r>
    </w:p>
    <w:p>
      <w:r>
        <w:rPr>
          <w:b/>
        </w:rPr>
        <w:t>E. 2.1</w:t>
      </w:r>
    </w:p>
    <w:p>
      <w:r>
        <w:t>Die Beschwerdeführerin stellt dies nicht in Frage. Sie wirft der Vorinstanz eine Verletzung von Bundesrecht (sowie des Willkürverbotes) vor, weil diese trotz Vorbringen übergangen habe, dass die 10-tägige Frist zur Bestreitung ihres im Lastenverzeichnis aufgenommenen Anspruchs vom Bestreitenden (Beschwerdegegner 1) nicht eingehalten worden sei und das Betreibungsamt daher zu Unrecht angewiesen werde, Frist zu Klage anzusetzen bzw. die Parteirollen zu verteilen.</w:t>
      </w:r>
    </w:p>
    <w:p>
      <w:r>
        <w:rPr>
          <w:b/>
        </w:rPr>
        <w:t>E. 2.2</w:t>
      </w:r>
    </w:p>
    <w:p>
      <w:r>
        <w:t>Die Vorbringen der Beschwerdeführerin gehen fehl. Die obere Aufsichtsbehörde hat erkannt, dass mit der Eingabe des Beschwerdegegners 1 vom 3. Dezember 2010 eine Bestreitung des Lastenverzeichnisses erfolgt sei, welche das Betreibungsamt als solche zu behandeln habe, weil dies im bisherigen Verfahren zu Unrecht nicht geschehen sei. Die Beschwerdeführerin übergeht, dass über die Bestreitung keine Verfügung getroffen wurde - ebenso wenig über die Frage, ob die Bestreitungsfrist eingehalten worden ist. Mit dem angefochtenen Entscheid wird gestützt auf die Erkenntnis, dass eine unbehandelte Bestreitung des Lastenverzeichnisses vorliegt, die Fortsetzung des betreibungsamtlichen Vorverfahrens veranlasst (vgl. BRUNNER/ REUTTER, Kollokations- und Widerspruchsklagen nach SchKG, 2. Aufl. 2002, S. 145 ff.). Dass die Fortsetzung des betreibungsamtlichen Vorverfahrens gestützt auf die Eingabe des Beschwerdegegners 1 vom 3. Dezember 2010 der richtige Weg sei, stellt die Beschwerdeführerin nicht in Frage. Inwiefern der angefochtene Entscheid Recht verletzt, legt die Beschwerdeführerin nicht dar.</w:t>
      </w:r>
    </w:p>
    <w:p>
      <w:r>
        <w:rPr>
          <w:b/>
        </w:rPr>
        <w:t>E. 3</w:t>
      </w:r>
    </w:p>
    <w:p>
      <w:r>
        <w:t>Auf die Beschwerde kann nicht eingetreten werden. Bei diesem Ausgang des Verfahrens wird die Beschwerdeführerin kostenpflichtig ( Art. 66 Abs. 1 BGG ). Eine Parteientschädigung an den Beschwerdegegner 1 entfällt, da er mit seinem Antrag auf Abweisung des Gesuchs um aufschiebende Wirkung unterlegen ist, und ihm im weiteren bundesgerichtlichen Verfahren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