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156/2020 vom 2. Juni 2020</w:t>
      </w:r>
    </w:p>
    <w:p>
      <w:r>
        <w:t>Bundesgericht, 2020-06-02, FR</w:t>
      </w:r>
    </w:p>
    <w:p>
      <w:r>
        <w:rPr>
          <w:b/>
        </w:rPr>
        <w:t xml:space="preserve">Quelle: </w:t>
      </w:r>
      <w:r>
        <w:t>https://mcp.opencaselaw.ch/entscheid/bger_5A_156_2020</w:t>
      </w:r>
    </w:p>
    <w:p>
      <w:r>
        <w:t>FR: TF 5A 156/2020 du 2 juin 2020</w:t>
      </w:r>
    </w:p>
    <w:p>
      <w:r>
        <w:t>IT: TF 5A 156/2020 del 2 giugno 2020</w:t>
      </w:r>
    </w:p>
    <w:p>
      <w:pPr>
        <w:pStyle w:val="Heading2"/>
      </w:pPr>
      <w:r>
        <w:t>Regeste</w:t>
      </w:r>
    </w:p>
    <w:p>
      <w:r>
        <w:t>qualité pour défendre de l'exécuteur testamentaire (contrat de bail à loyer) | Droit des successions</w:t>
      </w:r>
    </w:p>
    <w:p>
      <w:pPr>
        <w:pStyle w:val="Heading2"/>
      </w:pPr>
      <w:r>
        <w:t>Erwägungen</w:t>
      </w:r>
    </w:p>
    <w:p>
      <w:r>
        <w:rPr>
          <w:b/>
        </w:rPr>
        <w:t>E. 1.1</w:t>
      </w:r>
    </w:p>
    <w:p>
      <w:r>
        <w:t>Le recours a été déposé en temps utile ( art. 100 al. 1 LTF ) et dans la forme prévue par la loi ( art. 42 LTF ), contre une décision finale ( art. 90 LTF ) rendue en matière civile ( art. 72 al. 1 LTF ), sur recours, par une autorité supérieure statuant en dernière instance cantonale ( art. 75 al. 1 et 2 LTF ). Il s'agit d'une cause de nature pécuniaire, dont la valeur litigieuse atteint le seuil légal ( art. 74 al. 1 LTF ). Les recourantes ont en outre pris part à la procédure devant l'autorité précédente ( art. 76 al. 1 let. a LTF ) et, ayant succombé dans leurs conclusions, ont un intérêt à l'annulation ou à la modification de la décision attaquée ( art. 76 al. 1 let. b LTF ). Le recours en matière civile est donc en principe recevable au regard des dispositions qui précèdent.</w:t>
      </w:r>
    </w:p>
    <w:p>
      <w:r>
        <w:rPr>
          <w:b/>
        </w:rPr>
        <w:t>E. 1.2</w:t>
      </w:r>
    </w:p>
    <w:p>
      <w:r>
        <w:t>Lorsque le recours a pour objet une décision d'irrecevabilité, le Tribunal fédéral ne statue pas lui-même sur le fond en cas d'admission du recours, mais il se borne à renvoyer l'affaire à l'autorité précédente afin que les justiciables ne soient pas privés d'un degré de juridiction ( ATF 138 III 46 consid. 1.2; parmi plusieurs: arrêts 4A_510/2016 du 26 janvier 2017 consid. 1; 4A_360/2016 du 12 janvier 2017 consid. 1; 5A_637/2016 du 2 novembre 2016 consid. 1.2). Les conclusions cassatoire et en renvoi du recours sont donc recevables.</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Il doit exister un lien entre la motivation du recours et la décision attaquée; le recourant ne peut se contenter de reprendre presque mot pour mot l'argumentation formée devant l'autorité cantonale ( ATF 140 III 86 consid. 2; 134 II 244 consid. 2.1 et 2.3).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144 II 246 consid. 6.7; 143 I 310 consid. 2.2 et la référence) - des faits doit se conformer au principe d'allégation susmentionné (cf. supra consid. 2.1).</w:t>
      </w:r>
    </w:p>
    <w:p>
      <w:r>
        <w:rPr>
          <w:b/>
        </w:rPr>
        <w:t>E. 3</w:t>
      </w:r>
    </w:p>
    <w:p>
      <w:r>
        <w:t>Dans le présent recours, les recourantes ne s'en prennent qu'au second pan de la motivation de la décision querellée. Elles reprennent ainsi l'argumentation subsidiaire qu'elles avaient présentée en instance cantonale: en résiliant le bail, l'exécuteur testamentaire n'aurait pas agi ès qualités mais comme mandataire des trois héritiers formant l'hoirie, soit en dehors de ses pouvoirs et du champ d'application de l' art. 518 al. 2 CC . Outre qu'une telle motivation ne paraît pas satisfaire aux exigences de l' art. 42 al. 2 LTF (cf. supra consid. 2.1), force est de constater qu'elle prend entièrement appui sur des faits qui ne ressortent pas de la décision attaquée, sans que l'on trouve trace d'un quelconque grief de constatation manifestement inexacte des faits, motivé à satisfaction ( art. 106 al. 2 LTF ; cf. supra consid. 2.2). La critique est partant irrecevable.</w:t>
      </w:r>
    </w:p>
    <w:p>
      <w:r>
        <w:rPr>
          <w:b/>
        </w:rPr>
        <w:t>E. 4</w:t>
      </w:r>
    </w:p>
    <w:p>
      <w:r>
        <w:t>En définitive, le recours doit être déclaré irrecevable, aux frais des recourantes, solidairement entre elles ( art. 66 al. 1 et 5 LTF ). Il n'y a pas lieu d'allouer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