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5A_156/2007 vom 29. August 2007</w:t>
      </w:r>
    </w:p>
    <w:p>
      <w:r>
        <w:t>Bundesgericht, 2007-08-29, FR</w:t>
      </w:r>
    </w:p>
    <w:p>
      <w:r>
        <w:rPr>
          <w:b/>
        </w:rPr>
        <w:t xml:space="preserve">Quelle: </w:t>
      </w:r>
      <w:r>
        <w:t>https://mcp.opencaselaw.ch/entscheid/bger_5A_156_2007</w:t>
      </w:r>
    </w:p>
    <w:p>
      <w:r>
        <w:t>FR: TF 5A_156/2007 du 29 août 2007</w:t>
      </w:r>
    </w:p>
    <w:p>
      <w:r>
        <w:t>IT: TF 5A_156/2007 del 29 agosto 2007</w:t>
      </w:r>
    </w:p>
    <w:p>
      <w:pPr>
        <w:pStyle w:val="Heading2"/>
      </w:pPr>
      <w:r>
        <w:t>Erwägungen</w:t>
      </w:r>
    </w:p>
    <w:p>
      <w:r>
        <w:rPr>
          <w:b/>
        </w:rPr>
        <w:t>E. 1</w:t>
      </w:r>
    </w:p>
    <w:p>
      <w:r>
        <w:t>Le Tribunal fédéral examine d'office la recevabilité des recours qui lui sont soumis ( art. 29 al. 1 LTF ; ATF 133 I 185 consid. 2 p. 188).</w:t>
      </w:r>
    </w:p>
    <w:p>
      <w:r>
        <w:rPr>
          <w:b/>
        </w:rPr>
        <w:t>E. 1.1</w:t>
      </w:r>
    </w:p>
    <w:p>
      <w:r>
        <w:t>Interjeté par une partie ayant succombé dans ses conclusions et dirigé contre une décision finale rendue en matière civile (cf. FF 2001 p. 4105, ch. 4.1.3.1) par une autorité cantonale de dernière instance dans une affaire pécuniaire dont la valeur litigieuse atteint 30'000 fr., le recours en matière civile est recevable sous l'angle des art. 72 al. 1 let. a, 74 al. 1 let. b, 75, 76 al. 1 et 90 LTF. En outre, il a été déposé à temps ( art. 100 al. 1 LTF ).</w:t>
      </w:r>
    </w:p>
    <w:p>
      <w:r>
        <w:rPr>
          <w:b/>
        </w:rPr>
        <w:t>E. 1.2</w:t>
      </w:r>
    </w:p>
    <w:p>
      <w:r>
        <w:t>Selon la jurisprudence, la décision attaquée porte sur des mesures provisionnelles au sens de l' art. 98 LTF (arrêts 5A_301/2007 du 9 août 2007; 5A_134/2007 du 5 juillet 2007, destiné à la publication), en sorte que seule peut être invoquée la violation de droits constitutionnels.</w:t>
      </w:r>
    </w:p>
    <w:p>
      <w:r>
        <w:t>Le Tribunal fédéral ne sanctionne la violation de tels droits que si ce grief est invoqué et motivé par le recourant ( art. 106 al. 2 LTF ); les exigences de motivation correspondent à celles de l' art. 90 al. 1 let. b OJ ( ATF 133 III 393 consid. 6 p. 397).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(cf. ATF 107 Ia 186 ; 130 I 258 consid. 1.3 p. 261/262 et la jurisprudence citée).</w:t>
      </w:r>
    </w:p>
    <w:p>
      <w:r>
        <w:rPr>
          <w:b/>
        </w:rPr>
        <w:t>E. 2.1</w:t>
      </w:r>
    </w:p>
    <w:p>
      <w:r>
        <w:t>La Cour de justice a retenu que, à suivre la requérante (i.e. Novel Commodities SA), l'opposante (i.e. Roberts Flight Information Region) ne dispose pas d'une autonomie décisionnelle, organisationnelle et financière suffisante à l'égard des États membres; dans ce cas, on ne peut considérer que l'opposante est l'émanation de la seule République de Guinée, mais bien de tous les États membres, à savoir la République de Guinée, la Sierra Leone et le Liberia. En effet, il résulte de l'accord international pertinent que la République de Guinée n'agit pas d'une manière prépondérante, par rapport aux deux autres États, dans l'administration et la direction de l'opposante, une répartition plus ou moins égalitaire ayant au contraire été prévue. L'accord signé par l'opposante avec IATA confirme cette approche, son objet indiquant que le contrat a été conclu pour le compte de la République de Guinée, de la Sierra Leone et du Liberia; l'intéressée ne représente donc pas uniquement la débitrice, mais aussi les deux autres États membres. Le courrier du 15 septembre 2006 par lequel IATA déclare ne détenir aucune somme pour le compte de la République de Guinée n'infirme pas cette analyse, non plus que la déclaration de Véronique Vincent - ancienne employée de IATA, alors en charge de négocier le montant des redevances de survol avec les États membres - d'après laquelle l'opposante était la représentante des États membres. En définitive - abstraction faite de la question de l'indépendance par rapport aux États membres -, il faut admettre que les avoirs détenus par l'opposante n'appartiennent en tout cas pas à la seule débitrice; cet élément résulte, au demeurant, de la réquisition de séquestre elle-même. Il s'ensuit que l'opposition doit être admise pour ce motif déjà.</w:t>
      </w:r>
    </w:p>
    <w:p>
      <w:r>
        <w:rPr>
          <w:b/>
        </w:rPr>
        <w:t>E. 2.2</w:t>
      </w:r>
    </w:p>
    <w:p>
      <w:r>
        <w:t>En substance, la juridiction précédente a accueilli l'opposition au séquestre par le motif que la requérante a sollicité elle-même la mise sous main de justice de biens dont plusieurs personnes - y compris le débiteur - sont titulaires collectifs (cf. Gilliéron, Commentaire de la loi fédérale sur la poursuite pour dettes et la faillite, t. IV, Lausanne 2003, n. 58 ad art. 272 LP et les références citées). C'est avec raison que la recourante fait valoir qu'une pareille interprétation de la réquisition de séquestre n'est pas soutenable. En réalité, elle a requis le séquestre des redevances collectées par IATA pour le compte de la République de Guinée, à l'exclusion des biens appartenant aux autres États membres (Sierra Leone et Liberia). La lecture de la requête ne corrobore aucunement l'opinion de l'autorité cantonale: L'intimée y est présentée comme un «organe étatique créé en 1975» et «géré directement par la Citée (i.e. débitrice) conjointement avec le Liberia et la Sierra Leone», lequel est «chargé de fournir des services divers au trafic aérien de la région de l'Afrique de l'Ouest ainsi que de la perception des taxes de survol pour le compte de ces trois États» (p. 7 ch. 37). Il «est donc plus que vraisemblable que la République de Guinée dispose - de manière médiate, à travers l'un de ses Ministères, Départements ou autres organes administratifs, notamment le Roberts FIR, ou immédiate - d'un compte dans les livres de la IATA [...]». La «créance résultant de ces comptes peut dès lors faire l'objet d'un séquestre» (ibidem, ch. 38). En considérant que la recourante avait requis le séquestre d'avoirs qu'elle désignait elle-même comme appartenant à plusieurs personnes, la Cour de justice est ainsi tombée dans l'arbitraire, de sorte que sa décision doit être annulée.</w:t>
      </w:r>
    </w:p>
    <w:p>
      <w:r>
        <w:rPr>
          <w:b/>
        </w:rPr>
        <w:t>E. 2.3</w:t>
      </w:r>
    </w:p>
    <w:p>
      <w:r>
        <w:t>La juridiction précédente ne s'étant pas prononcée sur les moyens soulevés par l'opposante, il y a lieu de lui renvoyer l'affaire pour qu'elle statue à nouveau ( art. 107 al. 2 LTF ).</w:t>
      </w:r>
    </w:p>
    <w:p>
      <w:r>
        <w:rPr>
          <w:b/>
        </w:rPr>
        <w:t>E. 3</w:t>
      </w:r>
    </w:p>
    <w:p>
      <w:r>
        <w:t>Vu l'issue de la procédure, les frais et dépens doivent être mis à la charge de l'intimée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