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5A_155/2025 vom 25. Februar 2025</w:t>
      </w:r>
    </w:p>
    <w:p>
      <w:r>
        <w:t>Bundesgericht, 2025-02-25, DE</w:t>
      </w:r>
    </w:p>
    <w:p>
      <w:r>
        <w:rPr>
          <w:b/>
        </w:rPr>
        <w:t xml:space="preserve">Quelle: </w:t>
      </w:r>
      <w:r>
        <w:t>https://mcp.opencaselaw.ch/entscheid/bger_5A_155_2025</w:t>
      </w:r>
    </w:p>
    <w:p>
      <w:r>
        <w:t>FR: TF 5A_155/2025 du 25 février 2025</w:t>
      </w:r>
    </w:p>
    <w:p>
      <w:r>
        <w:t>IT: TF 5A_155/2025 del 25 febbraio 2025</w:t>
      </w:r>
    </w:p>
    <w:p>
      <w:pPr>
        <w:pStyle w:val="Heading2"/>
      </w:pPr>
      <w:r>
        <w:t>Erwägungen</w:t>
      </w:r>
    </w:p>
    <w:p>
      <w:r>
        <w:rPr>
          <w:b/>
        </w:rPr>
        <w:t>E. 1</w:t>
      </w:r>
    </w:p>
    <w:p>
      <w:r>
        <w:t>Angefochten ist ein kantonal letztinstanzliches Urteil betreffend Kindesschutz; die Beschwerde in Zivilsachen steht offen (Art. 72 Abs. 2 lit. b Ziff. 6,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Der Beschwerdeführer beantragt im ersten Rechtsbegehren, das Urteil des Kantonsgerichts aufzuheben oder eine Verhandlung gemäss Menschenrechtskonvention einzuberufen. Dieser Antrag ist unklar, denn die beiden Anliegen stehen nicht in einem alternativen Verhältnis zueinander. Soweit der Beschwerdeführer eine Verhandlung vor Bundesgericht anstreben sollte, ist festzuhalten, dass kein Anspruch auf eine Parteiverhandlung ( Art. 57 BGG ) oder eine mündliche Beratung ( Art. 58 BGG ) besteht. Soweit es ihm um das vorinstanzliche Verfahren gehen sollte, setzt er sich nicht mit den Erwägungen auseinander, mit welchen das Kantonsgericht den Verzicht auf die Durchführung einer Verhandlung begründet hat.</w:t>
      </w:r>
    </w:p>
    <w:p>
      <w:r>
        <w:rPr>
          <w:b/>
        </w:rPr>
        <w:t>E. 4</w:t>
      </w:r>
    </w:p>
    <w:p>
      <w:r>
        <w:t>Wie bereits die Beschwerde im Verfahren 5A_103/2025 erschöpft sich auch die vorliegende in reiner Polemik. Der Beschwerdeführer macht zusammengefasst geltend, D.________ sei bis zu seiner Verschleppung gesund gewesen, es würden ihm im Kinderheim unter Zwang Drogen verabreicht und er werde durch den Beistand in Verletzung der mandatsrechtlichen Pflichten gezielt manipuliert bzw. ihm als Vater entfremdet, obwohl ihm eindeutig die Fähigkeit attestiert worden sei, in alleiniger Obhut für die Kinder zu sorgen. Die Familie sei die natürliche Grundeinheit der Gesellschaft und der Beistand sowie die KESB würden sich auf Fake-Angaben stützen und die KESB legitimiere mit ihrem Entscheid den bandenmässigen Kinderhandel bzw. auch die Richter des Kantonsgerichts seien im bandenmässigen Kinderhandelring involviert. Die Menschenrechte gemäss BV, EMRK sowie UNO-Charta und das Kindeswohl seien verletzt. Diese Ausführungen lassen eine sachgerichtete Auseinandersetzung mit den Erwägungen des angefochtenen Entscheides, welcher sich eingehend zur Sorgerechtszuteilung, zur Ausgestaltung des Kontaktrechts und zur Beistandschaft äussert, vollständig vermissen. Der Beschwerdeführer legt nicht dar, inwiefern das Kantonsgericht den Sachverhalt offensichtlich unrichtig festgestellt oder das Recht falsch angewandt haben soll.</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Mit dem sofortigen Urteil in der Sache wird das Gesuch um vorsorgliche Massnahmen gegenstandslos.</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