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5A_154/2018 vom 31. August 2018</w:t>
      </w:r>
    </w:p>
    <w:p>
      <w:r>
        <w:t>Bundesgericht, 2018-08-31, FR</w:t>
      </w:r>
    </w:p>
    <w:p>
      <w:r>
        <w:rPr>
          <w:b/>
        </w:rPr>
        <w:t xml:space="preserve">Quelle: </w:t>
      </w:r>
      <w:r>
        <w:t>https://mcp.opencaselaw.ch/entscheid/bger_5A_154_2018</w:t>
      </w:r>
    </w:p>
    <w:p>
      <w:r>
        <w:t>FR: TF 5A_154/2018 du 31 août 2018</w:t>
      </w:r>
    </w:p>
    <w:p>
      <w:r>
        <w:t>IT: TF 5A_154/2018 del 31 agosto 2018</w:t>
      </w:r>
    </w:p>
    <w:p>
      <w:pPr>
        <w:pStyle w:val="Heading2"/>
      </w:pPr>
      <w:r>
        <w:t>Erwägungen</w:t>
      </w:r>
    </w:p>
    <w:p>
      <w:r>
        <w:rPr>
          <w:b/>
        </w:rPr>
        <w:t>E. 1.1</w:t>
      </w:r>
    </w:p>
    <w:p>
      <w:r>
        <w:t>Déposé en temps utile ( art. 100 al. 1 LTF ) et dans la forme légale ( art. 42 al. 1 LTF ), le recours est dirigé contre une décision finale ( art. 90 LTF ), rendue en matière civile ( art. 72 al. 1 LTF ) par un tribunal supérieur statuant sur recours ( art. 75 al. 1 et 2 LTF ), dans une contestation de nature pécuniaire. Comme démontré dans le mémoire de recours, la valeur litigieuse est supérieure à 30'000 fr. ( art. 74 al. 1 let. b LTF ).</w:t>
      </w:r>
    </w:p>
    <w:p>
      <w:r>
        <w:rPr>
          <w:b/>
        </w:rPr>
        <w:t>E. 1.2</w:t>
      </w:r>
    </w:p>
    <w:p>
      <w:r>
        <w:t>Les procurations de B.________, C.________, D.________ et E.________ n'ayant pas été remises à la Cour de céans dans le délai imparti pour remédier à cette irrégularité et les conséquences du défaut de production de ces pièces ayant été indiquées dans l'ordonnance du 13 février 2018, le recours est d'emblée irrecevable en tant qu'il est formé par les personnes susmentionnées, étant au demeurant précisé que le certificat d'hérédité produit par courrier du 26 février 2018 mentionne A.________ (ci-après: la recourante) comme unique héritière de la succession de feu H.________.</w:t>
      </w:r>
    </w:p>
    <w:p>
      <w:r>
        <w:rPr>
          <w:b/>
        </w:rPr>
        <w:t>E. 1.3</w:t>
      </w:r>
    </w:p>
    <w:p>
      <w:r>
        <w:t>Le recours ne contient que des conclusions en annulation et en renvoi de la cause à la juridiction précédente ou à l'autorité de première instance.</w:t>
      </w:r>
    </w:p>
    <w:p>
      <w:r>
        <w:t>Le recours en matière civile est une voie de réforme (art. 107 al. 2LTF). La partie recourante doit donc en principe prendre des conclusions sur le fond du litige, sous peine d'irrecevabilité. A titre exceptionnel, il est admis qu'elle puisse se limiter à prendre des conclusions cassatoires lorsque le Tribunal fédéral, s'il a ccueillait le recours, ne serait pas en mesure de statuer lui-même sur le fond ( ATF 136 V 131 consid. 1.2; 134 III 379 consid. 1.3). Les conclusions doivent par ailleurs être interprétées selon le principe de la confiance, à la lumière de la motivation de l'acte ( ATF 124 IV 53 consid. 1; 123 IV 125 consid. 1; arrêt 5D_192/2017 du 17 mai 2018 consid. 1.2).</w:t>
      </w:r>
    </w:p>
    <w:p>
      <w:r>
        <w:t>En l'espèce, la validité des conclusions prises dans l'acte de recours peut demeurer indécise, dès lors que le recours doit quoi qu'il en soit être déclaré irrecevable pour un autre motif (cf.</w:t>
      </w:r>
    </w:p>
    <w:p>
      <w:r>
        <w:t>infra consid. 3).</w:t>
      </w:r>
    </w:p>
    <w:p>
      <w:r>
        <w:rPr>
          <w:b/>
        </w:rPr>
        <w:t>E. 2</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3</w:t>
      </w:r>
    </w:p>
    <w:p>
      <w:r>
        <w:t>La recourante invoque une violation des art. 2 et 3 CC , en rapport avec l' art. 694 CC .</w:t>
      </w:r>
    </w:p>
    <w:p>
      <w:r>
        <w:t>En l'espèce, la cour cantonale a procédé à une double motivation pour nier le droit à une servitude de passage nécessaire au sens de l' art. 694 CC . Dans le premier volet de son argumentation, elle a retenu que H.________ avait lui-même créé l'enclavement de sa parcelle et que cette situation était opposable à la recourante. Dans une seconde motivation, elle a retenu, en se référant notamment à l'arrêt publié aux ATF 120 II 185 , que lorsque, comme en l'espèce, le fonds était contigu à une voie publique mais que, pour des motifs de sécurité, aucun accès ne pouvait être aménagé à cet endroit pour les automobilistes, le propriétaire dudit fonds ne pouvait de toute manière pas prétendre à un droit de passage nécessaire.</w:t>
      </w:r>
    </w:p>
    <w:p>
      <w:r>
        <w:t>Or,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(cf.</w:t>
      </w:r>
    </w:p>
    <w:p>
      <w:r>
        <w:t>supra consid. 2; ATF 142 III 364 consid. 2.4 et les références; arrêt 5A_136/2018 du 26 juin 2018 consid. 3.1).</w:t>
      </w:r>
    </w:p>
    <w:p>
      <w:r>
        <w:t>Faute de critique concernant la seconde motivation de la juridiction précédente, le recours est donc irrecevable.</w:t>
      </w:r>
    </w:p>
    <w:p>
      <w:r>
        <w:rPr>
          <w:b/>
        </w:rPr>
        <w:t>E. 4</w:t>
      </w:r>
    </w:p>
    <w:p>
      <w:r>
        <w:t>En conclusion, le recours est irrecevable. Les frais judiciaires sont mis à la charge de A.________ ( art. 66 al. 1 LTF ), seule recourante valablement représentée en instance fédérale. Il n'est pas alloué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