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5A_153/2024 vom 6. März 2024</w:t>
      </w:r>
    </w:p>
    <w:p>
      <w:r>
        <w:t>Bundesgericht, 2024-03-06, DE</w:t>
      </w:r>
    </w:p>
    <w:p>
      <w:r>
        <w:rPr>
          <w:b/>
        </w:rPr>
        <w:t xml:space="preserve">Quelle: </w:t>
      </w:r>
      <w:r>
        <w:t>https://mcp.opencaselaw.ch/entscheid/bger_5A_153_2024</w:t>
      </w:r>
    </w:p>
    <w:p>
      <w:r>
        <w:t>FR: TF 5A_153/2024 du 6 mars 2024</w:t>
      </w:r>
    </w:p>
    <w:p>
      <w:r>
        <w:t>IT: TF 5A_153/2024 del 6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eine Begründung zu enthalten,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2</w:t>
      </w:r>
    </w:p>
    <w:p>
      <w:r>
        <w:t>Die Beschwerde enthält keine sachgerichtete Begründung. Die Beschwerdeführerin äussert sich in kaum verständlicher Weise zu einem "Tatereignis 2014" und macht sinngemäss daraus erfolgte Schäden und sozialversicherungsrechtliche Ansprüche geltend.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Mit dem sofortigen Urteil in der Sache wird das sinngemässe Gesuch um aufschiebende Wirkung gegenstandslos, so dass offen bleiben kann, auf was sich das Gesuch sinngemäss beziehen könnte.</w:t>
      </w:r>
    </w:p>
    <w:p>
      <w:r>
        <w:rPr>
          <w:b/>
        </w:rPr>
        <w:t>E. 5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