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152/2020 vom 7. April 2020</w:t>
      </w:r>
    </w:p>
    <w:p>
      <w:r>
        <w:t>Bundesgericht, 2020-04-07, DE</w:t>
      </w:r>
    </w:p>
    <w:p>
      <w:r>
        <w:rPr>
          <w:b/>
        </w:rPr>
        <w:t xml:space="preserve">Quelle: </w:t>
      </w:r>
      <w:r>
        <w:t>https://mcp.opencaselaw.ch/entscheid/bger_5A_152_2020</w:t>
      </w:r>
    </w:p>
    <w:p>
      <w:r>
        <w:t>FR: TF 5A 152/2020 du 7 avril 2020</w:t>
      </w:r>
    </w:p>
    <w:p>
      <w:r>
        <w:t>IT: TF 5A 152/2020 del 7 aprile 2020</w:t>
      </w:r>
    </w:p>
    <w:p>
      <w:pPr>
        <w:pStyle w:val="Heading2"/>
      </w:pPr>
      <w:r>
        <w:t>Regeste</w:t>
      </w:r>
    </w:p>
    <w:p>
      <w:r>
        <w:t>Rechtsverzögerung (Eheschutz) | Familienrecht</w:t>
      </w:r>
    </w:p>
    <w:p>
      <w:pPr>
        <w:pStyle w:val="Heading2"/>
      </w:pPr>
      <w:r>
        <w:t>Erwägungen</w:t>
      </w:r>
    </w:p>
    <w:p>
      <w:r>
        <w:rPr>
          <w:b/>
        </w:rPr>
        <w:t>E. 1</w:t>
      </w:r>
    </w:p>
    <w:p>
      <w:r>
        <w:t>Gegen das unrechtmässige verzögern eines anfechtbaren Entscheides kann jederzeit Beschwerde erhoben werden ( Art. 94 BGG ). Der zu treffende Entscheid würde der Beschwerde in Zivilsachen unterliegen ( Art. 72 Abs. 1 und Art. 75 Abs. 1 BGG ). Auf die Rechtsverzögerungsbeschwerde ist folglich einzutreten.</w:t>
      </w:r>
    </w:p>
    <w:p>
      <w:r>
        <w:rPr>
          <w:b/>
        </w:rPr>
        <w:t>E. 2</w:t>
      </w:r>
    </w:p>
    <w:p>
      <w:r>
        <w:t>Jede Person hat in Verfahren vor Gerichts- und Verwaltungsinstanzen Anspruch auf Beurteilung innert angemessener Frist ( Art. 29 Abs. 1 BV ). Die angemessene Frist lässt sich nicht absolut bestimmen. Eine Rechtsverzögerung liegt vor, wenn das zuständige Gericht seinen Entscheid nicht binnen der Frist fällt, welche nach der Natur der Sache und der Gesamtheit der übrigen Umstände (u.a. Bedeutung für den Betroffenen und Berücksichtigung der fallspezifischen Entscheidungsabläufe) als angemessen erscheint. Es spielt keine Rolle, auf welche Gründe die Verzögerung zurückzuführen ist; entscheidend ist, dass das Gericht nicht fristgerecht handelt (zum Ganzen BGE 135 I 265 E. 4.4 S. 277; 144 II 486 E. 3.2 S. 489).</w:t>
      </w:r>
    </w:p>
    <w:p>
      <w:r>
        <w:rPr>
          <w:b/>
        </w:rPr>
        <w:t>E. 3</w:t>
      </w:r>
    </w:p>
    <w:p>
      <w:r>
        <w:t>Die Vernehmlassung des Kantonsgerichtes beschränkt sich vorab auf die Aussage, der Beschwerdeführer habe Ende November 2019 eine weitere Eingabe gemacht, welche das Verfahren verzögert habe. Mit diesem lapidaren Hinweis dürfte sich das Kantonsgericht auf die Eingabe des Beschwerdeführers vom 27. November 2019 beziehen, mit welcher dieser nochmals auf die aktuelle Situation hingewiesen und um eine beförderliche Behandlung des Verfahrens gebeten hat. Inwiefern sich daraus das Berufungsverfahren verzögert haben soll, wird vom Kantonsgericht nicht dargelegt. Ferner erfolgt in der Vernehmlassung die weitere Aussage, am 27. Februar 2020 habe das Kantonsgericht in Vollzug des erstinstanzlichen Eheschutzentscheides die Kinder- und Jugendpsychiatrie aufgefordert, mit den Eltern unverzüglich Beratungsgespräche aufzunehmen. Diese ebenfalls nicht weiter kommentierte Aussage soll offenbar andeuten, dass im Berufungsverfahren auch in jüngster Zeit gerichtliche Handlungen erfolgen. Indes ist die angesprochene Aufforderung über ein Jahr nach Anhängigmachen der Berufung und augenfällig im Zusammenhang mit der am 24. Februar 2020 versandten Anzeige der Rechtsverzögerungsbeschwerde erfolgt. Inwiefern sie das Berufungsverfahren vorantreiben soll, wird nicht dargelegt. Das Kantonsgericht hat über die am 7. Januar 2019 gegen den Eheschutzentscheid eingereichte Berufung zu befinden und streitig ist insbesondere die Ausgestaltung des Besuchsrechts des Beschwerdeführers. Eheschutzverfahren sind allgemein dringlich, namentlich wenn es um Kinderbelange geht. Dies gilt besonders im vorliegenden Fall, in welchem aufgrund des Zeitablaufes und des über eine grosse Distanzerfolgten Wegzuges der Mutter die unter ihrer Obhut stehenden Töchter sich dem Vater zunehmend zu entfremden scheinen. Bei dieser Ausgangslage ist eine rasche Behandlung der Berufung angezeigt. Aus den beigezogenen Akten geht im Übrigen hervor, dass die Angelegenheit im Prinzip bereits Anfang des Jahres 2019 spruchreif gewesen wäre, nachdem mit Verfügung vom 23. Januar 2019 von einem zweiten Schriftenwechsel abgesehen und bekanntgegeben wurde, dass keine Verhandlung durchgeführt werde. Allerdings reichte dann die Beiständin am 5. April 2019 von sich aus einen Verlaufsbericht ein, welchen das Kantonsgericht allen Beteiligten zur Stellungnahme übermittelte und woraus sich gewissermassen ein weiterer Schriftenwechsel ergab, welcher jedoch spätestens im August 2019 abgeschlossen war. Vor diesem Hintergrund ist das Kantonsgericht aufzufordern, das Berufungsverfahren so rasch als möglich einem Entscheid zuzuführen.</w:t>
      </w:r>
    </w:p>
    <w:p>
      <w:r>
        <w:rPr>
          <w:b/>
        </w:rPr>
        <w:t>E. 4</w:t>
      </w:r>
    </w:p>
    <w:p>
      <w:r>
        <w:t>Es rechtfertigt sich, auf die Erhebung von Gerichtskosten zu verzichten ( Art. 66 Abs. 1 und 4 BGG ) und - zufolge des angesichts der offensichtlichen Prozessarmut gutzuheissenden Gesuches um unentgeltliche Rechtspflege und der Verbeiständung des Beschwerdeführers durch den vertretenden Rechtsanwalt ( Art. 64 Abs. 1 und 2 BGG ) - diesen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