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152/2013 vom 16. Oktober 2013</w:t>
      </w:r>
    </w:p>
    <w:p>
      <w:r>
        <w:t>Bundesgericht, 2013-10-16, FR</w:t>
      </w:r>
    </w:p>
    <w:p>
      <w:r>
        <w:rPr>
          <w:b/>
        </w:rPr>
        <w:t xml:space="preserve">Quelle: </w:t>
      </w:r>
      <w:r>
        <w:t>https://mcp.opencaselaw.ch/entscheid/bger_5A_152_2013</w:t>
      </w:r>
    </w:p>
    <w:p>
      <w:r>
        <w:t>FR: TF 5A 152/2013 du 16 octobre 2013</w:t>
      </w:r>
    </w:p>
    <w:p>
      <w:r>
        <w:t>IT: TF 5A 152/2013 del 16 ottobre 2013</w:t>
      </w:r>
    </w:p>
    <w:p>
      <w:pPr>
        <w:pStyle w:val="Heading2"/>
      </w:pPr>
      <w:r>
        <w:t>Regeste</w:t>
      </w:r>
    </w:p>
    <w:p>
      <w:r>
        <w:t>divorce (contribution d'entretien | Droit de la famille</w:t>
      </w:r>
    </w:p>
    <w:p>
      <w:pPr>
        <w:pStyle w:val="Heading2"/>
      </w:pPr>
      <w:r>
        <w:t>Erwägungen</w:t>
      </w:r>
    </w:p>
    <w:p>
      <w:r>
        <w:rPr>
          <w:b/>
        </w:rPr>
        <w:t>E. 1</w:t>
      </w:r>
    </w:p>
    <w:p>
      <w:r>
        <w:t>L'arrêt entrepris est une décision finale ( art. 90 LTF ), rendue en matière civile ( art. 72 al. 1 LTF ), par une autorité cantonale supérieure statuant sur recours ( art. 75 LTF ), dans une contestation pécuniaire dont la valeur litigieuse atteint 30'000 fr. ( art. 51 al. 1 let. a et al. 4 LTF , art. 74 al. 1 let. b LTF ). La recourante, qui a qualité pour recourir ( art. 76 al. 1 LTF ), a agi dans le délai ( art. 100 al. 1 LTF ) prévu par la loi, de sorte que son recours est en principe recevable.</w:t>
      </w:r>
    </w:p>
    <w:p>
      <w:r>
        <w:rPr>
          <w:b/>
        </w:rPr>
        <w:t>E. 2</w:t>
      </w:r>
    </w:p>
    <w:p>
      <w:r>
        <w:t>La recourante attaque sur deux points l'arrêt cantonal: la fixation du revenu hypothétique de l'intimé (cf. infra consid. 3) et le point de départ du versement des contributions d'entretien dues aux deux enfants (cf. infra consid. 4).</w:t>
      </w:r>
    </w:p>
    <w:p>
      <w:r>
        <w:rPr>
          <w:b/>
        </w:rPr>
        <w:t>E. 3.1.1</w:t>
      </w:r>
    </w:p>
    <w:p>
      <w:r>
        <w:t>Dans son appel, la recourante a conclu à titre subsidiaire - ses conclusions principales tendant au renvoi de la cause au premier juge - à ce que l'intimé soit condamné à verser en faveur de chacun de ses enfants une contribution d'entretien de 500 fr. jusqu'à l'âge de 13 ans et de 550 fr. par la suite. A l'appui de ces conclusions, elle soutenait en substance qu'il y avait lieu d'imputer avec effet immédiat à l'intimé un revenu hypothétique mensuel brut de 4'100 fr. et que le premier juge avait retenu à tort qu'on ne pouvait condamner l'intimé à verser une pension que lorsque celui-ci gagnerait un revenu effectif mensuel net de 3'400 fr. (cf. appel du 13 juin 2012 p. 19 s. et 24). La recourante a conclu à titre plus subsidiaire à ce que l'intimé soit condamné à verser en faveur de chacun de ses enfants une contribution d'entretien de 50 fr. dès le moment où il percevrait un revenu mensuel net d'au moins 2'700 fr., contribution qui augmenterait jusqu'à 1'200 fr. au maximum en cas de salaire supérieur à ce montant. A l'appui de ces conclusions, elle soutenait en substance que le premier juge avait de toute façon violé le droit en ne prévoyant aucune pension en faveur des enfants avant que l'intimé ne réalise effectivement un revenu net de 3'400 fr. alors qu'il avait arrêté ses charges à 2'600 fr. (cf. appel du 13 juin 2012 p. 26).</w:t>
      </w:r>
    </w:p>
    <w:p>
      <w:r>
        <w:rPr>
          <w:b/>
        </w:rPr>
        <w:t>E. 3.1.2</w:t>
      </w:r>
    </w:p>
    <w:p>
      <w:r>
        <w:t>L'autorité cantonale a fixé à 2'700 fr. le revenu hypothétique imputable à l'intimé, manifestement en se basant sur les conclusions plus subsidiaires de la recourante; elle a considéré que l'intimé pourrait aisément obtenir ce montant en exerçant une activité lucrative même dans les branches avec lesquelles il n'a aucune affinité (par exemple auxiliaire dans la restauration, ouvrier dans l'industrie légère). Elle a ensuite fixé à 50 fr. les pensions dues en l'état aux enfants, en précisant que ce montant serait susceptible d'augmenter en cas d'augmentation du revenu effectif de l'intimé.</w:t>
      </w:r>
    </w:p>
    <w:p>
      <w:r>
        <w:rPr>
          <w:b/>
        </w:rPr>
        <w:t>E. 3.2</w:t>
      </w:r>
    </w:p>
    <w:p>
      <w:r>
        <w:t>Par cette motivation, dont la compréhension n'est pas des plus aisées, l'autorité cantonale a violé sur deux points le droit fédéral.</w:t>
      </w:r>
    </w:p>
    <w:p>
      <w:r>
        <w:rPr>
          <w:b/>
        </w:rPr>
        <w:t>E. 3.2.1</w:t>
      </w:r>
    </w:p>
    <w:p>
      <w:r>
        <w:t>Premièrement, les contributions étant réclamées pour l'entretien des enfants, l'autorité cantonale ne pouvait s'en tenir au revenu de 2'700 fr. allégué par la recourante dans ses conclusions plus subsidiaires - dont la portée n'était au demeurant pas évidente ce d'autant moins qu'on pouvait déduire de ses écritures que cette partie entendait en premier lieu faire imputer un revenu mensuel brut de 4'100 fr. à l'intimé -, en se bornant simplement à affirmer que l'intimé pouvait aisément obtenir ce revenu minimum de 2'700 fr. La maxime inquisitoire étant applicable (cf. art. 296 CPC ; arrêt 5A_807/2012 du 6 février 2013 consid. 4.2.3), elle devait éclaircir les faits et prendre en considération d'office tous les éléments qui pouvaient être importants pour rendre une décision conforme à l'intérêt des enfants, même s'il appartenait aux parties, en premier lieu, de lui soumettre les faits déterminants et les offres de preuves.</w:t>
      </w:r>
    </w:p>
    <w:p>
      <w:r>
        <w:rPr>
          <w:b/>
        </w:rPr>
        <w:t>E. 3.2.2</w:t>
      </w:r>
    </w:p>
    <w:p>
      <w:r>
        <w:t>Secondement, selon la jurisprudence relative à la détermination du revenu hypothétique, après avoir déterminé quelle activité lucrative peut raisonnablement devoir accomplir le débirentier, le juge doit examiner si celui-ci a la possibilité effective d'exercer cette activité et le revenu qu'il peut en obtenir compte tenu notamment, de sa formation, de son âge et de son état de santé et du marché du travail ( ATF 137 III 102 consid. 4.2.2.2; 128 III 4 consid. 4c/bb). Pour arrêter le montant du salaire, le juge peut se baser notamment sur l'enquête suisse sur la structure des salaires, réalisée par l'Office fédéral de la statistique (http://www.lohnrechner.bfs.admin.ch/Pages/SalariumWizard.aspx?lang=fr), ou sur d'autres sources (conventions collectives de travail; PHILIPP MÜLHAUSER, Das Lohnbuch 2012, Mindestlöhne sowie orts- und berufübliche Löhne in der Schweiz, Zurich 2012). Il peut certes aussi se fonder sur l'expérience générale de la vie; toutefois, même dans ce dernier cas, les faits qui permettent d'appliquer des règles d'expérience doivent être établis ( ATF 137 III 118 consid. 3.2; 128 III 4 consid. 4c/bb; arrêts 5A_9/2013 du 23 mai 2013 consid. 4.2, publié in FamPra.ch 2013 p. 708; 5A_99/2011 du 26 septembre 2011 consid. 7.4.1, non publié in ATF 137 II 604 , publié in FamPra.ch 2012 p. 228 et Pra 2012 (62) p. 426; 5A_18/2011 du 6 juin 2011 consid. 3.1.1; 5A_894/2010 du 15 avril 2011 consid. 3.1). Or, en l'espèce, l'autorité cantonale n'a pas établi le revenu que l'intimé pourrait raisonnablement obtenir, se contentant d'un montant minimum aisément réalisable.</w:t>
      </w:r>
    </w:p>
    <w:p>
      <w:r>
        <w:rPr>
          <w:b/>
        </w:rPr>
        <w:t>E. 3.2.3</w:t>
      </w:r>
    </w:p>
    <w:p>
      <w:r>
        <w:t>L'arrêt attaqué doit par conséquent être annulé sur ce point et la cause renvoyée à l'autorité cantonale pour nouvelle instruction. Au vu de ce qui précède, il n'y a pas à examiner les griefs de la recourante concernant l' art. 29 al. 1 et 2 Cst. , ni ceux relatifs à la violation des art. 276, 285 CC , 58 et 296 CPC.</w:t>
      </w:r>
    </w:p>
    <w:p>
      <w:r>
        <w:rPr>
          <w:b/>
        </w:rPr>
        <w:t>E. 4</w:t>
      </w:r>
    </w:p>
    <w:p>
      <w:r>
        <w:t>S'agissant de la date à partir de laquelle un revenu hypothétique pourrait être imputé à l'intimé et, partant, celle à partir de laquelle les contributions d'entretien pourraient être versées, l'autorité cantonale a fixé le 1 er juillet 2013. Se prévalant de la violation de l' art. 9 Cst. dans l'établissement des faits, la recourante semble conclure à ce que cette date soit celle du jugement de première instance. Elle relève que l'autorité cantonale a constaté elle-même que l'intimé avait refusé par le passé de travailler pour une fondation (Y.________) sous prétexte que cette activité ne correspondait pas à ses aspirations, ce qui lui aurait permis d'avoir droit à une nouvelle période de chômage. Elle en conclut que l'autorité cantonale aurait dû retenir sur la base de ces faits que l'intimé a volontairement refusé un emploi et des indemnités qui lui auraient permis de contribuer à plus long terme à l'entretien de sa famille. Elle ajoute que les sms de mai 2012 que lui aurait envoyés l'intimé sont également probants à cet égard, en tant qu'ils permettent de retenir que l'intimé tente par tous les moyens de lui nuire.</w:t>
      </w:r>
    </w:p>
    <w:p>
      <w:r>
        <w:rPr>
          <w:b/>
        </w:rPr>
        <w:t>E. 4.1.1</w:t>
      </w:r>
    </w:p>
    <w:p>
      <w:r>
        <w:t>Le juge civil n'est pas lié par l'instruction menée par les autorités administratives en matière de chômage ou d'assistance sociale.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 ATF 137 III 118 consid. 3.1; arrêts 5A_248/2011 du 14 novembre 2011 consid. 4.1, publié in FamPra.ch 2012 p. 500; 5A_99/2011 du 26 septembre 2011 consid. 7.4.2, non publié in ATF 137 III 604 , publié in FamPra.ch p. 228 et Pra 2012 (62) p. 426; 5A_588/2010 du 12 janvier 2011 consid. 2.3).</w:t>
      </w:r>
    </w:p>
    <w:p>
      <w:r>
        <w:rPr>
          <w:b/>
        </w:rPr>
        <w:t>E. 4.1.2</w:t>
      </w:r>
    </w:p>
    <w:p>
      <w:r>
        <w:t>La date à partir de laquelle on peut exiger du débirentier qu'il renonce à trouver du travail dans son domaine d'activité et qu'il accepte en conséquence de prendre un emploi ne correspondant pas à ses qualifications pour subvenir aux besoins de ses enfants, de même que le délai laissé à ce débirentier pour trouver un emploi dans le nouveau domaine d'activité fixé, relève du pouvoir d'appréciation du juge du fait. En pareil cas, le Tribunal fédéral fait preuve de retenue et n'intervient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justice ( ATF 138 III 49 consid. 4.4.5; 132 III 49 consid. 5.2; 126 III 223 consid. 4a et les références).</w:t>
      </w:r>
    </w:p>
    <w:p>
      <w:r>
        <w:rPr>
          <w:b/>
        </w:rPr>
        <w:t>E. 4.1.3</w:t>
      </w:r>
    </w:p>
    <w:p>
      <w:r>
        <w:t>En l'espèce, par son argumentation, la recourante ne démontre aucun abus de la part de l'autorité cantonale dans son appréciation, tant en ce qui concerne la date à partir de laquelle l'intimé doit renoncer à tenter de travailler dans son domaine de formation, que du délai qu'il faut lui laisser pour trouver un emploi dans les nouveaux domaines d'activité qu'elle a retenus (restauration, construction). La faute volontaire, que la recourante cherche à opposer à l'intimé, qui permet d'imputer à une personne le revenu que celle-ci gagnait précédemment avec effet rétroactif au jour de la diminution, vise une autre hypothèse; elle n'est pas remplie du simple fait qu'une personne refuse, de manière épisodique, d'accepter un travail au motif qu'il ne correspond pas à sa formation, alors qu'elle est encore en droit de persévérer dans cette voie. Au vu de ce qui précède, le grief de la violation de l' art. 9 Cst. est rejeté.</w:t>
      </w:r>
    </w:p>
    <w:p>
      <w:r>
        <w:rPr>
          <w:b/>
        </w:rPr>
        <w:t>E. 5</w:t>
      </w:r>
    </w:p>
    <w:p>
      <w:r>
        <w:t>En conclusion, le recours est partiellement admis, l'arrêt attaqué est annulé et la cause est renvoyée à l'autorité cantonale pour nouvelle décision dans le sens des considérants. Vu la situation économique précaire de la recourante, dont les conclusions n'étaient par ailleurs pas entièrement dénuées de chances de succès, il convient d'accéder à sa requête d'assistance judiciaire ( art. 64 al. 1 LTF ), Me Grégoire Bovet lui étant désigné comme avocat d'office. Les frais judiciaires sont partagés par moitié entre les parties ( art. 66 al. 1 LTF ) et les dépens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