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151/2025 vom 20. Juni 2025</w:t>
      </w:r>
    </w:p>
    <w:p>
      <w:r>
        <w:t>Bundesgericht, 2025-06-20, FR</w:t>
      </w:r>
    </w:p>
    <w:p>
      <w:r>
        <w:rPr>
          <w:b/>
        </w:rPr>
        <w:t xml:space="preserve">Quelle: </w:t>
      </w:r>
      <w:r>
        <w:t>https://mcp.opencaselaw.ch/entscheid/bger_5A_151_2025</w:t>
      </w:r>
    </w:p>
    <w:p>
      <w:r>
        <w:t>FR: TF 5A 151/2025 du 20 juin 2025</w:t>
      </w:r>
    </w:p>
    <w:p>
      <w:r>
        <w:t>IT: TF 5A 151/2025 del 20 giugno 2025</w:t>
      </w:r>
    </w:p>
    <w:p>
      <w:pPr>
        <w:pStyle w:val="Heading2"/>
      </w:pPr>
      <w:r>
        <w:t>Regeste</w:t>
      </w:r>
    </w:p>
    <w:p>
      <w:r>
        <w:t>garde d'un enfant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 du 31 décembre 2024, A.________ a signalé à la Cour des mesures de protection de l'enfant et de l'adulte du Tribunal cantonal du canton de Neuchâtel des " irrégularités graves " survenues à l'occasion d'une audience qui s'est tenue le 20 novembre 2024 devant la " Présidente de l'Autorité de protection de l'enfant et de l'adulte du Littoral et du Val-de-Travers " dans la procédure l'opposant à B.________ au sujet de la garde d'un enfant mineur; de surcroît, il a réclamé des " dommages et intérêts " et formulé " cinq demandes ". Par arrêt du 23 janvier 2025, l'autorité cantonale a déclaré irrecevable, au sens des considérants, la " contestation " soulevée par le prénommé dans son courrier du 31 décembre 2024.</w:t>
      </w:r>
    </w:p>
    <w:p>
      <w:r>
        <w:rPr>
          <w:b/>
        </w:rPr>
        <w:t>E. 2</w:t>
      </w:r>
    </w:p>
    <w:p>
      <w:r>
        <w:t>Par écriture expédiée le 17 février 2025, A.________ forme un recours contre l'arrêt cantonal. 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 art. 72 al. 1 LTF (BOVEY, in : Commentaire de la LTF, 3e éd., 2022, n° 47 ad art. 72 LTF , avec la jurisprudence citée). Il est superflu de discuter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l'autorité précédente a considéré que, à supposer que des " agissements lors d'une audience " puissent être contestés devant la juridiction supérieure, le " recours " serait tardif pour avoir été déposé le 31 décembre 2024, c'est-à-dire plus de 30 jours après la tenue de l'audience litigieuse. La juridiction cantonale a retenu que les conclusions formulées par le recourant étaient au demeurant irrecevables: l'ouverture " d'une enquête indépendante " de nature disciplinaire n'est pas de son ressort, mais de la compétence du Conseil de la magistrature; la " révision des décisions prises " est exclue, faute de motif de révision, même s'il fallait la traiter en tant que " recours "; la " compensation financière " qu'il réclame a pour objet une prétention du chef de la responsabilité de l'État, qui doit être soumise (en fonction de la valeur litigieuse) aux autorités désignées par la législation cantonale ( cf . art. 20 LREsp); enfin, les " recommandations structurelles " et la " transparence des résultats " de l'enquête éventuelle ne relèvent pas de la connaissance de l'autorité de recours contre les décisions de l'autorité de protection de l'enfant et de l'adulte.</w:t>
      </w:r>
    </w:p>
    <w:p>
      <w:r>
        <w:rPr>
          <w:b/>
        </w:rPr>
        <w:t>E. 4.2</w:t>
      </w:r>
    </w:p>
    <w:p>
      <w:r>
        <w:t>Le recourant ne soulève pas de critiques motivées à l'encontre des arguments retenus par les juges précédents pour justifier - au regard de la législation cantonale - leur incompétence à raison de la matière, mais se plaint de prétendues " irrégularités procédurales " qu'aurait commises le premier juge et dénonce la responsabilité de l'État " dans le traitement de [s]on dossier ". Le recours est par conséquent irrecevable dans cette mesure ( art. 106 al. 2 LTF ; ATF 144 I 159 consid. 4.2). La " [d]emande de protection des données et des droits d'auteur sur le dossier judiciaire " - autant qu'elle est compréhensible - est étrangère à l'objet du litige, de sorte que le recours est également irrecevable à cet égard ( ATF 142 I 155 consid. 4.4.2 et les arrêts cités).</w:t>
      </w:r>
    </w:p>
    <w:p>
      <w:r>
        <w:rPr>
          <w:b/>
        </w:rPr>
        <w:t>E. 4.3</w:t>
      </w:r>
    </w:p>
    <w:p>
      <w:r>
        <w:t>Les motifs de la décision attaquée qui précèdent - indépendants et suffisants - permettent de sceller le sort de la cause ( cf . ATF 142 III 364 consid. 2.4 et les arrêts cités). Cela étant, il n'y a pas lieu d'examiner le grief du recourant dirigé à l'encontre du motif pris de la " tardiveté de sa contestation " ( ATF 135 III 608 consid. 4.6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