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5A_151/2023 vom 28. Februar 2023</w:t>
      </w:r>
    </w:p>
    <w:p>
      <w:r>
        <w:t>Bundesgericht, 2023-02-28, FR</w:t>
      </w:r>
    </w:p>
    <w:p>
      <w:r>
        <w:rPr>
          <w:b/>
        </w:rPr>
        <w:t xml:space="preserve">Quelle: </w:t>
      </w:r>
      <w:r>
        <w:t>https://mcp.opencaselaw.ch/entscheid/bger_5A_151_2023</w:t>
      </w:r>
    </w:p>
    <w:p>
      <w:r>
        <w:t>FR: TF 5A_151/2023 du 28 février 2023</w:t>
      </w:r>
    </w:p>
    <w:p>
      <w:r>
        <w:t>IT: TF 5A_151/2023 del 28 febbraio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un courrier intitulé "Motion" daté du 12 décembre 2022 mais arrivé en Suisse le 3 janvier 2023 et réceptionné par le Tribunal de céans le 5 suivant, A.________ a déclaré solliciter l'annulation d'un "jugement par défaut".</w:t>
      </w:r>
    </w:p>
    <w:p>
      <w:r>
        <w:rPr>
          <w:b/>
        </w:rPr>
        <w:t>E. 2</w:t>
      </w:r>
    </w:p>
    <w:p>
      <w:r>
        <w:t>Bien que ledit courrier indique comme objet l'arrêt "LR21.002682-210526" rendu le 30 juillet 2021 par la Chambre des curatelles du Tribunal cantonal du canton de Vaud (ci-après: Chambre des curatelles), aucune volonté claire de recourir contre dite décision n'en ressortait. Le Tribunal de céans a donc interpellé A.________, par courrier du 5 janvier 2023, afin qu'il précise s'il entendait recourir contre dite décision ou si son courrier devait être compris comme une demande de révision de l'arrêt 5A_842/2020 rendu le 14 octobre 2021 par la Cour de céans dans le cadre de la procédure de divorce l'opposant à son ex-épouse B.________.</w:t>
      </w:r>
    </w:p>
    <w:p>
      <w:r>
        <w:rPr>
          <w:b/>
        </w:rPr>
        <w:t>E. 3</w:t>
      </w:r>
    </w:p>
    <w:p>
      <w:r>
        <w:t>Par e-mail du 22 février 2023 adressé en anglais au Tribunal de céans, A.________ n'a pas précisé sa volonté de recourir contre l'arrêt susmentionné mais a sollicité d'être renseigné sur le statut de son appel dont les "autorités centrales" (Central Authorities) lui avaient confirmé qu'il avait été transmis depuis novembre 2022. Il y a joint notamment une écriture d'appel datée du 29 novembre 2022 ainsi qu'un arrêt de la Chambre des curatelles du 1</w:t>
      </w:r>
    </w:p>
    <w:p>
      <w:r>
        <w:t>er novembre 2022 statuant sur la recevabilité d'un recours qu'il a formé contre une ordonnance de mesures provisionnelles du 8 juin 2022 du Juge de Paix du district de la Riviera-Pays-d'Enhaut prononçant notamment la suspension provisoire de son droit de visite sur sa fille C.________.</w:t>
      </w:r>
    </w:p>
    <w:p>
      <w:r>
        <w:rPr>
          <w:b/>
        </w:rPr>
        <w:t>E. 4</w:t>
      </w:r>
    </w:p>
    <w:p>
      <w:r>
        <w:t>Si tant est que l'on doive comprendre que la "Motion" du 12 décembre 2022 constitue effectivement une écriture de recours dirigée contre l'arrêt "LR21.002682-210526" rendu le 30 juillet 2021 par la Chambre des curatelles et qui doit être traitée en tant que recours en matière civile au sens de l' art. 72 al. 2 let. a LTF , celle-ci, outre qu'elle ne satisfait manifestement pas aux réquisits de motivation de l' art. 106 al. 2 LTF , est de surcroît largement tardive.</w:t>
      </w:r>
    </w:p>
    <w:p>
      <w:r>
        <w:rPr>
          <w:b/>
        </w:rPr>
        <w:t>E. 5</w:t>
      </w:r>
    </w:p>
    <w:p>
      <w:r>
        <w:t>En effet, conformément à l' art. 100 al. 1 LTF , le recours au Tribunal fédéral doit être déposé dans les 30 jours qui suivent la notification de l'expédition complète. La computation de ce délai obéit aux disposi-tions générales posées aux art. 44 ss LTF .</w:t>
      </w:r>
    </w:p>
    <w:p>
      <w:r>
        <w:t>Or, à la requête du Tribunal de céans, Me D.________ qui était alors le conseil du recourant, a transmis plusieurs pièces à savoir notam-ment une copie de l'enveloppe ayant contenu l'envoi recommandé de l'arrêt attaqué dont il ressort qu'il lui a été notifié le 9 août 2021.</w:t>
      </w:r>
    </w:p>
    <w:p>
      <w:r>
        <w:rPr>
          <w:b/>
        </w:rPr>
        <w:t>E. 6</w:t>
      </w:r>
    </w:p>
    <w:p>
      <w:r>
        <w:t>En conclusion, le présent recours doit être déclaré irrecevable par voie de procédure simplifiée ( art. 108 al. 1 let. a et b LTF ). Compte tenu des circonstances du cas d'espèce, il sera statué sans frais (art. 66 al. 1</w:t>
      </w:r>
    </w:p>
    <w:p>
      <w:r>
        <w:t>in fine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