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5A_151/2022 vom 3. März 2022</w:t>
      </w:r>
    </w:p>
    <w:p>
      <w:r>
        <w:t>Bundesgericht, 2022-03-03, DE</w:t>
      </w:r>
    </w:p>
    <w:p>
      <w:r>
        <w:rPr>
          <w:b/>
        </w:rPr>
        <w:t xml:space="preserve">Quelle: </w:t>
      </w:r>
      <w:r>
        <w:t>https://mcp.opencaselaw.ch/entscheid/bger_5A_151_2022</w:t>
      </w:r>
    </w:p>
    <w:p>
      <w:r>
        <w:t>FR: TF 5A_151/2022 du 3 mars 2022</w:t>
      </w:r>
    </w:p>
    <w:p>
      <w:r>
        <w:t>IT: TF 5A_151/2022 del 3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 S. 116; 142 III 364 E. 2.4 S. 368).</w:t>
      </w:r>
    </w:p>
    <w:p>
      <w:r>
        <w:rPr>
          <w:b/>
        </w:rPr>
        <w:t>E. 2</w:t>
      </w:r>
    </w:p>
    <w:p>
      <w:r>
        <w:t>Die Eingabe besteht aus einer Collage von (sich teils wiederholenden und teils auch polemischen) Statements und Auszügen aus E-Mails, welche zwar in einem weiteren Sinn das Kind betreffen, aber keinen konkreten Bezug auf die Erwägungen des angefochtenen Entscheides nehmen.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