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5A_151/2015 vom 13. Mai 2015</w:t>
      </w:r>
    </w:p>
    <w:p>
      <w:r>
        <w:t>Bundesgericht, 2015-05-13, DE</w:t>
      </w:r>
    </w:p>
    <w:p>
      <w:r>
        <w:rPr>
          <w:b/>
        </w:rPr>
        <w:t xml:space="preserve">Quelle: </w:t>
      </w:r>
      <w:r>
        <w:t>https://mcp.opencaselaw.ch/entscheid/bger_5A_151_2015</w:t>
      </w:r>
    </w:p>
    <w:p>
      <w:r>
        <w:t>FR: TF 5A_151/2015 du 13 mai 2015</w:t>
      </w:r>
    </w:p>
    <w:p>
      <w:r>
        <w:t>IT: TF 5A_151/2015 del 13 maggio 2015</w:t>
      </w:r>
    </w:p>
    <w:p>
      <w:pPr>
        <w:pStyle w:val="Heading2"/>
      </w:pPr>
      <w:r>
        <w:t>Erwägungen</w:t>
      </w:r>
    </w:p>
    <w:p>
      <w:r>
        <w:rPr>
          <w:b/>
        </w:rPr>
        <w:t>E. 1</w:t>
      </w:r>
    </w:p>
    <w:p>
      <w:r>
        <w:t>Das angefochtene Urteil betrifft Kindesschutzmassnahmen ( Art. 307 ff. ZGB ) und unterliegt der Beschwerde gemäss Art. 72 ff. BGG (Urteil 5A_513/2013 vom 8. Mai 2014 E. 1.1, nicht veröffentlicht in: BGE 140 III 241 ). Formelle Einzelfragen sind im Sachzusammenhang zu erörtern. Auf die Beschwerde kann grundsätzlich eingetreten werden.</w:t>
      </w:r>
    </w:p>
    <w:p>
      <w:r>
        <w:rPr>
          <w:b/>
        </w:rPr>
        <w:t>E. 2</w:t>
      </w:r>
    </w:p>
    <w:p>
      <w:r>
        <w:t>Unter den Überschriften "1. zum Sachverhalt" (S. 3 ff.) und "3. zu den Erwägungen" (S. 9 ff.) ergänzt und berichtigt die Beschwerdeführerin die im Beschwerdeverfahren verbindlichen Tatsachenfeststellungen des Kantonsgerichts ( Art. 105 Abs. 1 BGG ), ohne ausnahmsweise zulässige Sachverhaltsrügen im Sinne von Art. 97 Abs. 1 BGG zu erheben und zu begründen ( BGE 140 III 264 E. 2.3 S. 266). Auf die von der kantonsgerichtlichen abweichende Sachverhaltsdarstellung der Beschwerdeführerin ist nicht einzutreten ( BGE 136 III 455 E. 2 S. 457). Unter der Überschrift "4. Rechtliches" (S. 11 ff.) stellt die Beschwerdeführerin die Prinzipien des Kindesschutzes dar, die sie in einem Abschnitt auf das angefochtene Urteil angewendet wissen will, im Übrigen aber mit Bezug auf frühere Entscheide der KESB als verletzt rügt. Diesbezüglich kann auf die Beschwerde nicht eingetreten werden. Anfechtbarer Entscheid ist allein das kantonal letztinstanzliche Urteil des Kantonsgerichts ( Art. 75 BGG ).</w:t>
      </w:r>
    </w:p>
    <w:p>
      <w:r>
        <w:rPr>
          <w:b/>
        </w:rPr>
        <w:t>E. 3</w:t>
      </w:r>
    </w:p>
    <w:p>
      <w:r>
        <w:t>Die KESB hat die bestehende Beistandschaft gemäss Art. 308 Abs. 1 und 2 ZGB sowie die Person des Beistandes bestätigt und dem Beistand unter anderem den Auftrag erteilt, über den Ablauf der Besuchstage des Kindsvaters und die Übergabe des Kindes C.________ monatlich zu berichten (Dispositiv-Ziff. 3e) und per 30. November 2014 Antrag zu stellen, ob und wie die Besuchstage zu verändern seien (Dispositiv-Ziff. 3f des Entscheids vom 30. September 2014).</w:t>
      </w:r>
    </w:p>
    <w:p>
      <w:r>
        <w:rPr>
          <w:b/>
        </w:rPr>
        <w:t>E. 3.1</w:t>
      </w:r>
    </w:p>
    <w:p>
      <w:r>
        <w:t>Das Kantonsgericht hat festgestellt, anlässlich der heutigen Verhandlung führe die Beschwerdeführerin aus, sie sei mit der errichteten Beistandschaft nicht einverstanden. Die Geeignetheit des gewählten Beistandes werde von der Beschwerdeführerin nicht mehr explizit in Abrede gestellt und es bestünden auch keine Anzeichen dafür, dass der ernannte Beistand nicht geeignet sei (E. 4.2 S. 9 des angefochtenen Urteils). Entgegen der Darstellung in der Beschwerdeschrift (S. 11) hat das Kantonsgericht sich zur Person des Beistandes damit geäussert. Seine Feststellung, dass die Beschwerdeführerin die Person des Beistandes an der Verhandlung nicht mehr ausdrücklich abgelehnt habe, gehört zum Prozesssachverhalt und ist für das Bundesgericht verbindlich ( BGE 140 III 16 E. 1.3.1 S. 18), zumal die Beschwerdeführerin auch in diesem Punkt keine zulässige Sachverhaltsrüge erhebt und begründet, indem sie schlicht das Gegenteil behauptet (S. 10 der Beschwerdeschrift; vgl. E. 2 oben). Soweit sie heute die Eignung des Beistandes bestreitet, sind ihre Vorbringen deshalb neu und unzulässig ( Art. 99 Abs. 1 BGG ; BGE 136 III 123 E. 4.4.3 S. 129), abgesehen davon, dass die erhobenen Vorwürfe der Parteilichkeit, der verbalen Bedrohung und der Untätigkeit unbelegt sind und eine fehlende Eignung nicht aufzuzeigen vermögen.</w:t>
      </w:r>
    </w:p>
    <w:p>
      <w:r>
        <w:rPr>
          <w:b/>
        </w:rPr>
        <w:t>E. 3.2</w:t>
      </w:r>
    </w:p>
    <w:p>
      <w:r>
        <w:t>Aufgabe des Beistandes ist die Überwachung des Besuchsrechts ( Art. 308 Abs. 2 ZGB ). Die Beschwerdeführerin wendet dagegen ein, wesentlich sei, dass gemäss übereinstimmenden Aussagen der Kindeseltern die Besuchstage klappten, so dass es nichts obrigkeitlich zu regeln gebe und keine Beistandschaft gerechtfertigt sei (S. 12 der Beschwerdeschrift). Das Kantonsgericht hat nicht übersehen, dass dem Kindsvater das Besuchsrecht bisher im gewährten Umfang ermöglicht wurde. Es hat festgehalten, dass das Kind an den Besuchsrechtstagen von seiner Tante oder von seiner Grossmutter dem Kindsvater übergeben werde, die Beschwerdeführerin daran nichts ändern wolle und ausschliesslich über die Anwälte mit dem Kindsvater zu kommunizieren beabsichtige und diese Haltung der Kindsmutter einen Austausch der Eltern in Kindesbelangen verunmögliche. In Anbetracht dessen hat das Kantonsgericht eine Begleitung und Unterstützung durch den Beistand als sinnvolle Massnahme erachtet (E. 4.4.3 S. 12 des angefochtenen Urteils). Die Beurteilung der Beistandschaft kann nicht beanstandet werden. Nach deren Anordnung kann stets gefragt werden, ob das Besuchsrecht dank ihr ausgeübt werden kann oder ob es auch ohne sie ausgeübt werden könnte. Die Vorgeschichte (Bst. B.b oben) und die bis heute ablehnende Haltung der Beschwerdeführerin gegenüber dem Kindsvater belegen, dass das Kantonsgericht die Beistandschaft zur Überwachung des persönlichen Verkehrs als die verhältnismässige und geeignete Kindesschutzmassnahme anordnen durfte (vgl. BGE 140 III 241 E. 2.1 S. 242 und E. 2.3 S. 243).</w:t>
      </w:r>
    </w:p>
    <w:p>
      <w:r>
        <w:rPr>
          <w:b/>
        </w:rPr>
        <w:t>E. 3.3</w:t>
      </w:r>
    </w:p>
    <w:p>
      <w:r>
        <w:t>Soweit sie sich gegen die Anordnung der Beistandschaft gemäss Art. 308 Abs. 2 ZGB richtet, erweist sich die Beschwerde als erfolglos.</w:t>
      </w:r>
    </w:p>
    <w:p>
      <w:r>
        <w:rPr>
          <w:b/>
        </w:rPr>
        <w:t>E. 4</w:t>
      </w:r>
    </w:p>
    <w:p>
      <w:r>
        <w:t>Die KESB hat dem Beistand den Auftrag erteilt, die Mütterberatung zu installieren, zu koordinieren und zu kontrollieren (Dispositiv-Ziff. 3d). Die Mütterberatung wurde für vorerst sechs Monate angeordnet (Dispositiv-Ziff. 5 des Entscheids vom 30. September 2014). Gegen die - auch vom Kantonsgericht bejahte (E. 4.4.1 S. 10 f.) - Nützlichkeit der Mütterberatung wendet die Beschwerdeführerin nichts ein. Sie macht vielmehr geltend, eine behördliche Kindesschutzmassnahme sei nicht geboten, da sie die Mütterberatung freiwillig aufsuche und hierzu keines Beistandes bedürfe (S. 10 der Beschwerdeschrift). Es geht offenbar auch hier wieder um die Frage, ob die Beschwerdeführerin die Mütterberatung je freiwillig in Anspruch genommen hätte, wenn sie nicht vorher behördlich angeordnet worden wäre. Die Frage durfte das Kantonsgericht aufgrund der bekannten Vorgeschichte (Bst. B) willkürfrei verneinen. Sie kann hier aber letztlich unbeantwortet bleiben, hat doch das Kantonsgericht die auf eine Dauer von sechs Monaten beschränkte Anordnung einer Mütterberatung als geeignet und verhältnismässig anerkannt (E. 4.4.1 S. 11 des angefochtenen Urteils). Diese sechs Monate sind, wie auch die Beschwerdeführerin das hervorhebt (S. 10 und S. 12), kurz nach Einreichung der Beschwerde abgelaufen, so dass die Beschwerde gegenstandslos geworden ist.</w:t>
      </w:r>
    </w:p>
    <w:p>
      <w:r>
        <w:rPr>
          <w:b/>
        </w:rPr>
        <w:t>E. 5</w:t>
      </w:r>
    </w:p>
    <w:p>
      <w:r>
        <w:t>Insgesamt muss die Beschwerde abgewiesen werden, soweit auf sie einzutreten ist und soweit sie nicht gegenstandslos geworden ist. Die Beschwerdeführerin wird damit kostenpflichtig ( Art. 66 Abs. 1 BGG ). Die vorstehenden Erwägungen, wonach die Rügen der Beschwerdeführerin unbegründet, zur Hauptsache aber unzulässig sind, verdeutlichen, dass die gestellten Rechtsbegehren von Beginn an keinen Erfolg haben konnten. Dem Gesuch der Beschwerdeführerin um unentgeltliche Rechtspflege darf deshalb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