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5A_150/2026 vom 20. April 2026</w:t>
      </w:r>
    </w:p>
    <w:p>
      <w:r>
        <w:t>Bundesgericht, 2026-04-20, FR</w:t>
      </w:r>
    </w:p>
    <w:p>
      <w:r>
        <w:rPr>
          <w:b/>
        </w:rPr>
        <w:t xml:space="preserve">Quelle: </w:t>
      </w:r>
      <w:r>
        <w:t>https://mcp.opencaselaw.ch/entscheid/bger_5A_150_2026</w:t>
      </w:r>
    </w:p>
    <w:p>
      <w:r>
        <w:t>FR: TF 5A_150/2026 du 20 avril 2026</w:t>
      </w:r>
    </w:p>
    <w:p>
      <w:r>
        <w:t>IT: TF 5A_150/2026 del 20 aprile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14 novembre 2025, la Justice de paix du district de Lausanne a rejeté la requête de récusation présentée le 11 novembre 2025 par A.A.________ et B.A.________ à l'encontre de la Juge de paix Kathleen Hack dans la procédure de mesures provisionnelles en matière de protection de l'enfant C.A.________.</w:t>
      </w:r>
    </w:p>
    <w:p>
      <w:r>
        <w:t>Par arrêt du 9 janvier 2026, notifié en expédition complète le 14 suivant, la Cour administrative du Tribunal cantonal du canton de Vaud a rejeté le recours des parents et confirmé le prononcé entrepris.</w:t>
      </w:r>
    </w:p>
    <w:p>
      <w:r>
        <w:rPr>
          <w:b/>
        </w:rPr>
        <w:t>E. 2</w:t>
      </w:r>
    </w:p>
    <w:p>
      <w:r>
        <w:t>Par écriture postée le 13 février 2026, ceux-ci exercent un recours en matière civile et un recours constitutionnel subsidiaire au Tribunal fédéral contre cet arrêt, en sollicitant l'octroi de l'effet suspensif au recours.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La voie de recours ouverte contre la décision (incidente) attaquée est déterminée par la procédure au fond ( ATF 147 III 451 consid. 1.3; 137 III 380 consid. 1.1), en l'espèce le recours en matière civile (art. 72 al. 2 let. b ch. 6 LTF, en lien avec l' art. 92 LTF ). La présente cause n'étant pas pécuniaire, celui-ci est recevable sans restriction ( art. 74 al. 1 LTF</w:t>
      </w:r>
    </w:p>
    <w:p>
      <w:r>
        <w:t>a contrario ; ATF 138 I 475 consid. 1.2), de sorte que le recours constitutionnel subsidiaire est exclu ( art. 113 LTF ).</w:t>
      </w:r>
    </w:p>
    <w:p>
      <w:r>
        <w:rPr>
          <w:b/>
        </w:rPr>
        <w:t>E. 4</w:t>
      </w:r>
    </w:p>
    <w:p>
      <w:r>
        <w:t>La décision querellée s'inscrit dans le contexte d'une procédure de mesures provisionnelles au sens de l' art. 98 LTF (en lien avec l' art. 445 al. 2 CC ). Les recourants ne peuvent ainsi se plaindre que d'une violation de leurs droits constitutionnels, moyen qu'ils sont tenus de motiver conformément aux exigences accrues prévues par l' art. 106 al. 2 LTF ( ATF 150 II 346 consid. 1.5.3; BOVEY, Commentaire de la LTF, 3e éd. 2022, n° 33 ad art. 106 LTF et les citations). Or, cette condition n'est aucunement respectée dans le cas présent; en effet, les recourants se bornent à énumérer des garanties constitutionnelles et conventionnelles ainsi que leur contenu, sans exposer concrètement en quoi l'arrêt attaqué - dont ils ne critiquent pas les motifs - leur serait contraire.</w:t>
      </w:r>
    </w:p>
    <w:p>
      <w:r>
        <w:rPr>
          <w:b/>
        </w:rPr>
        <w:t>E. 5</w:t>
      </w:r>
    </w:p>
    <w:p>
      <w:r>
        <w:t>Vu ce qui précède, le recours doit être déclaré irrecevable par voie de procédure simplifiée ( art. 108 al. 1 let. a et b LTF ), aux frais de ses auteurs ( art. 66 al. 1 LTF ). La requête d'effet suspensif est dès lors sans objet.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