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148/2015 vom 13. August 2015</w:t>
      </w:r>
    </w:p>
    <w:p>
      <w:r>
        <w:t>Bundesgericht, 2015-08-13, DE</w:t>
      </w:r>
    </w:p>
    <w:p>
      <w:r>
        <w:rPr>
          <w:b/>
        </w:rPr>
        <w:t xml:space="preserve">Quelle: </w:t>
      </w:r>
      <w:r>
        <w:t>https://mcp.opencaselaw.ch/entscheid/bger_5A_148_2015</w:t>
      </w:r>
    </w:p>
    <w:p>
      <w:r>
        <w:t>FR: TF 5A 148/2015 du 13 août 2015</w:t>
      </w:r>
    </w:p>
    <w:p>
      <w:r>
        <w:t>IT: TF 5A 148/2015 del 13 agosto 2015</w:t>
      </w:r>
    </w:p>
    <w:p>
      <w:pPr>
        <w:pStyle w:val="Heading2"/>
      </w:pPr>
      <w:r>
        <w:t>Regeste</w:t>
      </w:r>
    </w:p>
    <w:p>
      <w:r>
        <w:t>Ehescheidung | Familienrecht</w:t>
      </w:r>
    </w:p>
    <w:p>
      <w:pPr>
        <w:pStyle w:val="Heading2"/>
      </w:pPr>
      <w:r>
        <w:t>Erwägungen</w:t>
      </w:r>
    </w:p>
    <w:p>
      <w:r>
        <w:rPr>
          <w:b/>
        </w:rPr>
        <w:t>E. 1.1</w:t>
      </w:r>
    </w:p>
    <w:p>
      <w:r>
        <w:t>Das Bundesgericht prüft von Amtes wegen und mit freier Kognition, ob ein Rechtsmittel zulässig ist ( BGE 139 III 252 E. 1.1 S. 252; 138 III 46 E. 1 S. 46; 135 III 212 E. 1 S. 216, je mit Hinweisen).</w:t>
      </w:r>
    </w:p>
    <w:p>
      <w:r>
        <w:rPr>
          <w:b/>
        </w:rPr>
        <w:t>E. 1.2</w:t>
      </w:r>
    </w:p>
    <w:p>
      <w:r>
        <w:t>Die Beschwerde richtet sich gegen einen Entscheid einer letzten kantonalen Instanz ( Art. 75 BGG ), mit dem die Regelung der scheidungsrechtlichen Nebenfolgen durch das Bezirksgericht aufgehoben und die Sache zur Ergänzung des Verfahrens und neuer Entscheidung an dieses zurückgewiesen wurde. Der angefochtene Rückweisungsentscheid schliesst das Verfahren nicht ab, sondern stellt einen Zwischenentscheid dar ( BGE 137 V 314 E. 1 S. 315; 135 III 329 E. 1.2 S. 331; 135 III 212 E. 1.2 S. 216)</w:t>
      </w:r>
    </w:p>
    <w:p>
      <w:r>
        <w:rPr>
          <w:b/>
        </w:rPr>
        <w:t>E. 1.3</w:t>
      </w:r>
    </w:p>
    <w:p>
      <w:r>
        <w:t>Gegen selbständig eröffnete Vor- und Zwischenentscheide, die weder die Zuständigkeit noch den Ausstand betreffen, ist die Beschwerde nur zulässig, wenn eine der folgenden alternativen Voraussetzungen erfüllt ist: Wenn der Vor- und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Soweit deren Vorliegen nicht offensichtlich ist, obliegt es der beschwerdeführenden Partei darzutun, dass die Eintretensvoraussetzungen von Art. 93 BGG erfüllt sind (vgl. dazu BGE 138 III 46 E. 1.2 S. 47; 137 III 324 E. 1.1 S. 329; 134 III 426 E. 1.2 S. 429). Betreffend Art. 93 Abs. 1 lit. b BGG hat sie im einzelnen darzutun, welche Tatfragen offen sind und welche weitläufigen Beweiserhebungen in welchem zeitlichen und kostenmässigen Umfang erforderlich sind ( BGE 133 III 629 E. 2.4.2 S. 633 mit Hinweisen).</w:t>
      </w:r>
    </w:p>
    <w:p>
      <w:r>
        <w:rPr>
          <w:b/>
        </w:rPr>
        <w:t>E. 1.4</w:t>
      </w:r>
    </w:p>
    <w:p>
      <w:r>
        <w:t>Die Vorinstanz begründete die Rückweisung wie folgt: B.________ habe bereits anlässlich der ersten Hauptverhandlung vom 18. Januar 2011 behauptet, das Haus der Parteien sei unter anderem mit einer Erbschaft seines Vaters finanziert worden. Dies sei von seiner Ehefrau anlässlich der zweiten Hauptverhandlung bestritten worden. Inwieweit die Erstellung des Hauses aus dem Eigengut des Ehemannes finanziert worden sei, sei für die Auseinandersetzung der Parteien von Belang, vom Bezirksgericht aber nicht zum Gegenstand seiner Beweisauflageverfügung gemacht worden. Diese (Beweissatz 5) habe nur den Kaufpreis der Bauparzelle, nicht aber die Erstellungskosten umfasst. Die Beweisauflage sei in dieser Hinsicht nachzuholen. Somit könne über die güterrechtliche Ausgleichszahlung erst befunden werden, wenn alle güterrechtlichen Ansprüche feststünden, und sei auch erst über den nachehelichen Unterhalt definitiv zu entscheiden, nachdem die güterrechtliche Auseinandersetzung erfolgt sei. Die Beschwerdeführerin argumentiert, die Gutheissung der Beschwerde führte zur Abweisung der Berufung und damit zu einem Endentscheid, so dass ein bedeutender Aufwand an Kosten und insbesondere an Zeit für ein Beweisverfahren erspart würde.</w:t>
      </w:r>
    </w:p>
    <w:p>
      <w:r>
        <w:rPr>
          <w:b/>
        </w:rPr>
        <w:t>E. 1.5</w:t>
      </w:r>
    </w:p>
    <w:p>
      <w:r>
        <w:t>Die selbständige Anfechtbarkeit von Zwischenentscheiden bildet aus prozessökonomischen Gründen eine Ausnahme vom Grundsatz, dass sich das Bundesgericht mit jeder Angelegenheit nur einmal befassen soll ( BGE 138 III 94 E. 2.1 S. 94; 135 II 30 E. 1.3.2 S. 34 ; 135 I 261 E. 1.2 S. 263; 134 III 188 E. 2.2 S. 191; 133 III 629 E. 2.1 S. 631). Die Ausnahme ist restriktiv zu handhaben, zumal die Parteien keine Rechte verlieren, wenn sie einen Zwischenentscheid im Sinne von Art. 93 BGG nicht selbständig anfechten können, weil sie sich dagegen immer noch mit Beschwerde gegen den Endentscheid beim Bundesgericht zur Wehr setzen können, soweit er sich auf dessen Inhalt auswirkt ( Art. 93 Abs. 3 BGG ; BGE 133 IV 288 E. 3.2 S. 292). Entsprechend der restriktiven Handhabung von Art. 93 Abs. 1 lit. b BGG ist zu berücksichtigen, dass jede Instruktion einer Streitsache mit Aufwand verbunden ist. Ein Beweisverfahren, das den üblichen Rahmen nicht sprengt, rechtfertigt die gesonderte Anrufung des Bundesgerichtes daher nicht (Urteil 4A_484/2014 vom 3. Februar 2015 E. 1.3; Urteil 2C_990/2013 vom 25. Mai 2014 E. 2.2.2; je mit Hinweisen). Die Voraussetzung von Art. 93 Abs. 1 lit. b BGG ist etwa dann nicht erfüllt, wenn sich das Beweisverfahren auf die Befragung der Parteien, die Würdigung der eingereichten Unterlagen und die Befragung von wenigen Zeugen beschränkt oder auch eine nicht übermässig aufwendige Expertise umfasst (Urteil 4A_484/2014 vom 3. Februar 2015 E. 1.3; 2C_814/2012 vom 7. Mai 2013 E. 3.3; je mit Hinweisen). Dagegen ist die zweite Voraussetzung von Art. 93 Abs. 1 lit. b BGG etwa bejaht worden, wenn Zeugen im entfernten Ausland hätten befragt werden müssen (Urteil 4A_103/2013 vom 11. September 2013 E. 1.1.3, nicht publ. in: BGE 139 III 411 ) oder wenn eine oder mehrere Expertisen zu komplexen Sachverhaltsfragen, namentlich mit weiteren Zeugenbefragungen im Ausland, erforderlich waren (Urteil 2C_111/2011 vom 7. Juli 2011 E. 1.1.3, publ. in: SJ 2012 I S. 97, mit Hinweisen).</w:t>
      </w:r>
    </w:p>
    <w:p>
      <w:r>
        <w:rPr>
          <w:b/>
        </w:rPr>
        <w:t>E. 1.6</w:t>
      </w:r>
    </w:p>
    <w:p>
      <w:r>
        <w:t>Die Voraussetzungen nach Art. 93 Abs. 1 lit. b BGG müssen kumulativ vorliegen ( BGE 133 III 629 E. 2.4.1 S. 633 mit Hinweis). Daher kann aus dem Umstand, dass die Gutheissung der Beschwerde zu einem Endentscheid führte, nicht automatisch auf die zweite Voraussetzung geschlossen werden. Genau so aber argumentiert die Beschwerdeführerin vorliegend. Damit zeigt sie nicht auf, welche weitläufigen Beweiserhebungen in welchem zeitlichen und kostenmässigen Umfang anfallen würden. Auch wenn sich dem vorinstanzlichen Entscheid entnehmen lässt, welche Tatfragen noch zu ermitteln sein werden, liegt nicht auf der Hand, dass hierfür ein weitläufiges, d.h. ein über ein normales Instruktionsverfahren hinausgehendes Beweisverfahren notwendig wäre. Somit ist die Voraussetzung für eine ausnahmsweise Anfechtung des Entscheides gestützt auf Art. 93 Abs. 1 lit. b BGG bereits aus diesem Grund nicht erfüllt. Ob die Gutheissung der Beschwerde vorliegend zu einem sofortigen Endentscheid führen würde, braucht somit nicht geprüft zu werden. Auf die Beschwerde ist nicht einzutreten.</w:t>
      </w:r>
    </w:p>
    <w:p>
      <w:r>
        <w:rPr>
          <w:b/>
        </w:rPr>
        <w:t>E. 2</w:t>
      </w:r>
    </w:p>
    <w:p>
      <w:r>
        <w:t>Bei diesem Verfahrensausgang hat die Beschwerdeführerin für die Gerichtskosten aufzukommen ( Art. 66 Abs. 1 BGG ). Dem Beschwerdegegner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