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148/2011 vom 24. Juni 2011</w:t>
      </w:r>
    </w:p>
    <w:p>
      <w:r>
        <w:t>Bundesgericht, 2011-06-24, DE</w:t>
      </w:r>
    </w:p>
    <w:p>
      <w:r>
        <w:rPr>
          <w:b/>
        </w:rPr>
        <w:t xml:space="preserve">Quelle: </w:t>
      </w:r>
      <w:r>
        <w:t>https://mcp.opencaselaw.ch/entscheid/bger_5A_148_2011</w:t>
      </w:r>
    </w:p>
    <w:p>
      <w:r>
        <w:t>FR: TF 5A 148/2011 du 24 juin 2011</w:t>
      </w:r>
    </w:p>
    <w:p>
      <w:r>
        <w:t>IT: TF 5A 148/2011 del 24 giugno 2011</w:t>
      </w:r>
    </w:p>
    <w:p>
      <w:pPr>
        <w:pStyle w:val="Heading2"/>
      </w:pPr>
      <w:r>
        <w:t>Regeste</w:t>
      </w:r>
    </w:p>
    <w:p>
      <w:r>
        <w:t>Besuchsrecht | Familienrecht</w:t>
      </w:r>
    </w:p>
    <w:p>
      <w:pPr>
        <w:pStyle w:val="Heading2"/>
      </w:pPr>
      <w:r>
        <w:t>Erwägungen</w:t>
      </w:r>
    </w:p>
    <w:p>
      <w:r>
        <w:rPr>
          <w:b/>
        </w:rPr>
        <w:t>E. 1</w:t>
      </w:r>
    </w:p>
    <w:p>
      <w:r>
        <w:t>Angefochten ist ein kantonal letztinstanzlicher Endentscheid in einer nicht vermögensrechtlichen Zivilsache. Die Beschwerde in Zivilsachen steht offen ( Art. 72 Abs. 1, Art. 75 Abs. 1 und Art. 90 BGG ).</w:t>
      </w:r>
    </w:p>
    <w:p>
      <w:r>
        <w:rPr>
          <w:b/>
        </w:rPr>
        <w:t>E. 2</w:t>
      </w:r>
    </w:p>
    <w:p>
      <w:r>
        <w:t>Vor der Vorinstanz lautete das Rechtsbegehren wie folgt: "In Gutheissung der Beschwerde seien der angefochtene Beschluss der Vormundschaftsbehörde der Sozialregion Olten vom 17. August 2010 sowie der Entscheid des Departements des Innern vom 11. Oktober 2010 aufzuheben, es sei dem Beschwerdeführer ein unbegleitetes Besuchsrecht einzuräumen." Das vor Bundesgericht gestellte Rechtsbegehren (siehe oben unter C.) zielt demgegenüber in erster Linie die Herausgabe eines bestimmten Dokuments, eventualiter auf Schadenersatz kombiniert mit einer Urteilsrevision. Dabei handelt es sich - im Vergleich zum vorinstanzlichen Verfahren - um ein gänzlich neues Rechtsbegehren, was nicht zulässig ist ( Art. 99 Abs. 2 BGG ). Das vor Bundesgericht gestellte Rechtsbegehren kann vorliegend auch nicht - im Lichte der Beschwerdebegründung sowie unter Berücksichtigung der Tatsache, dass es sich um eine Laienbeschwerde handelt - als ein sinngemäss gestelltes Begehren auf Einräumung eines unbegleiteten Besuchsrechts entgegengenommen werden. Die Beschwerde in Zivilsachen ist ein reformatorisches Rechtsmittel ( Art. 107 Abs. 2 BGG ), weshalb präzise Rechtsbegehren gestellt werden müssen (ebenso schon die Praxis zur Berufung unter dem OG: BGE 132 III 186 E. 1.2 S. 188); Begehren, die das Ergebnis in das Ermessen des Gerichts stellen, sind unzulässig (Urteil 5A_766/2008 vom 4. Februar 2009 E. 2.2 mit Hinweisen). Mithin hätte der Beschwerdeführer genau angeben müssen, in welchem Umfang (an welchen Tagen bzw. für welchen Zeitraum) er ein unbegleitetes Besuchsrecht beansprucht. Aus seiner Beschwerdeschrift lässt sich diesbezüglich nichts ableiten. Da die Minimalanforderungen an die Präzision des Rechtsbegehrens vorliegend unterschritten wurden, kann auf die Beschwerde nicht eingetreten werden.</w:t>
      </w:r>
    </w:p>
    <w:p>
      <w:r>
        <w:rPr>
          <w:b/>
        </w:rPr>
        <w:t>E. 3</w:t>
      </w:r>
    </w:p>
    <w:p>
      <w:r>
        <w:t>Die Gerichtskosten sind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