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5A_147/2016 vom 23. Februar 2016</w:t>
      </w:r>
    </w:p>
    <w:p>
      <w:r>
        <w:t>Bundesgericht, 2016-02-23, DE</w:t>
      </w:r>
    </w:p>
    <w:p>
      <w:r>
        <w:rPr>
          <w:b/>
        </w:rPr>
        <w:t xml:space="preserve">Quelle: </w:t>
      </w:r>
      <w:r>
        <w:t>https://mcp.opencaselaw.ch/entscheid/bger_5A_147_2016</w:t>
      </w:r>
    </w:p>
    <w:p>
      <w:r>
        <w:t>FR: TF 5A_147/2016 du 23 février 2016</w:t>
      </w:r>
    </w:p>
    <w:p>
      <w:r>
        <w:t>IT: TF 5A_147/2016 del 23 febbraio 2016</w:t>
      </w:r>
    </w:p>
    <w:p>
      <w:pPr>
        <w:pStyle w:val="Heading2"/>
      </w:pPr>
      <w:r>
        <w:t>Volltext</w:t>
      </w:r>
    </w:p>
    <w:p>
      <w:r>
        <w:t>Bundesgericht</w:t>
      </w:r>
    </w:p>
    <w:p>
      <w:r>
        <w:t>Tribunal fédéral</w:t>
      </w:r>
    </w:p>
    <w:p>
      <w:r>
        <w:t>Tribunale federale</w:t>
      </w:r>
    </w:p>
    <w:p>
      <w:r>
        <w:t>Tribunal federal</w:t>
      </w:r>
    </w:p>
    <w:p>
      <w:r>
        <w:t>{T 0/2}</w:t>
      </w:r>
    </w:p>
    <w:p>
      <w:r>
        <w:t>5A_147/2016</w:t>
      </w:r>
    </w:p>
    <w:p>
      <w:r>
        <w:t>Urteil vom 23. Februar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Region Solothurn.</w:t>
      </w:r>
    </w:p>
    <w:p>
      <w:r>
        <w:t>Gegenstand</w:t>
      </w:r>
    </w:p>
    <w:p>
      <w:r>
        <w:t>Kontrollbesuch,</w:t>
      </w:r>
    </w:p>
    <w:p>
      <w:r>
        <w:t>Beschwerde nach Art. 72 ff. BGG gegen das Urteil vom 11. Februar 2016 der Aufsichtsbehörde für Schuldbetreibung und Konkurs des Kantons Solothurn.</w:t>
      </w:r>
    </w:p>
    <w:p>
      <w:r>
        <w:t>Nach Einsicht</w:t>
      </w:r>
    </w:p>
    <w:p>
      <w:r>
        <w:t>in die Beschwerde gemäss Art. 72 ff. BGG gegen das Urteil vom 11. Februar 2016 der Aufsichtsbehörde für Schuldbetreibung und Konkurs des Kantons Solothurn, die eine Beschwerde des Beschwerdeführers gegen die durch das Betreibungsamt Region Solothurn verfügte Festsetzung eines Kontrollbesuchs abgewiesen hat,</w:t>
      </w:r>
    </w:p>
    <w:p>
      <w:r>
        <w:t>in Erwägung,</w:t>
      </w:r>
    </w:p>
    <w:p>
      <w:r>
        <w:t>dass die Aufsichtsbehörde erwog, die Ankündigung des Kontrollbesuchs sei dem Beschwerdeführer mindestens einen Tag vor dem angesetzten Termin zugegangen, die Vorschrift von Art. 90 SchKG sei daher (ungeachtet der 10-tägigen Beschwerdefrist von Art. 17 SchKG ) eingehalten,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auf die Erwägungen der Aufsichtsbehörde eingeht,</w:t>
      </w:r>
    </w:p>
    <w:p>
      <w:r>
        <w:t>dass er erst recht nicht nach den gesetzlichen Anforderungen anhand dieser Erwägungen aufzeigt, inwiefern das Urteil der Aufsichtsbehörde vom 11. Februar 2016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dem Beschwerdeführer, dem Betreibungsamt Region Solothurn und der Aufsichtsbehörde für Schuldbetreibung und Konkurs des Kantons Solothurn schriftlich mitgeteilt.</w:t>
      </w:r>
    </w:p>
    <w:p>
      <w:r>
        <w:t>Lausanne, 23.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