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5A_145/2021 vom 23. Februar 2021</w:t>
      </w:r>
    </w:p>
    <w:p>
      <w:r>
        <w:t>Bundesgericht, 2021-02-23, FR</w:t>
      </w:r>
    </w:p>
    <w:p>
      <w:r>
        <w:rPr>
          <w:b/>
        </w:rPr>
        <w:t xml:space="preserve">Quelle: </w:t>
      </w:r>
      <w:r>
        <w:t>https://mcp.opencaselaw.ch/entscheid/bger_5A_145_2021</w:t>
      </w:r>
    </w:p>
    <w:p>
      <w:r>
        <w:t>FR: TF 5A_145/2021 du 23 février 2021</w:t>
      </w:r>
    </w:p>
    <w:p>
      <w:r>
        <w:t>IT: TF 5A_145/2021 del 23 febbraio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5A_145/2021</w:t>
      </w:r>
    </w:p>
    <w:p>
      <w:r>
        <w:t>Ordonnance du 23 février 2021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Justice de paix du district de Nyon,</w:t>
      </w:r>
    </w:p>
    <w:p>
      <w:r>
        <w:t>rue Jules-Gachet 5, 1260 Nyon.</w:t>
      </w:r>
    </w:p>
    <w:p>
      <w:r>
        <w:t>Objet</w:t>
      </w:r>
    </w:p>
    <w:p>
      <w:r>
        <w:t>répudiation d'une succession,</w:t>
      </w:r>
    </w:p>
    <w:p>
      <w:r>
        <w:t>recours contre l'arrêt du Tribunal cantonal du canton de Vaud, Chambre des recours civile, du 22 décembre 2020 (ST16.011892-201555 318).</w:t>
      </w:r>
    </w:p>
    <w:p>
      <w:r>
        <w:t>Vu :</w:t>
      </w:r>
    </w:p>
    <w:p>
      <w:r>
        <w:t>le recours interjeté le 19 février 2021 par A.________ à l'encontre de l'arrêt rendu le 22 décembre 2020 par la Chambre des recours civile du Tribunal cantonal du canton de Vaud;</w:t>
      </w:r>
    </w:p>
    <w:p>
      <w:r>
        <w:t>la déclaration de retrait du recours (sans frais) du 22 février 2021;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- qu'il n'y a aucun motif de renoncer à percevoir - incombent à la recourante ( art. 66 al. 1 et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La présente ordonnance est communiquée à la recourante, à la Justice de paix du district de Nyon et au Tribunal cantonal du canton de Vaud, Chambre des recours civile.</w:t>
      </w:r>
    </w:p>
    <w:p>
      <w:r>
        <w:t>Lausanne, le 23 février 2021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