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5A_141/2020 vom 25. Februar 2021</w:t>
      </w:r>
    </w:p>
    <w:p>
      <w:r>
        <w:t>Bundesgericht, 2021-02-25, FR</w:t>
      </w:r>
    </w:p>
    <w:p>
      <w:r>
        <w:rPr>
          <w:b/>
        </w:rPr>
        <w:t xml:space="preserve">Quelle: </w:t>
      </w:r>
      <w:r>
        <w:t>https://mcp.opencaselaw.ch/entscheid/bger_5A_141_2020</w:t>
      </w:r>
    </w:p>
    <w:p>
      <w:r>
        <w:t>FR: TF 5A_141/2020 du 25 février 2021</w:t>
      </w:r>
    </w:p>
    <w:p>
      <w:r>
        <w:t>IT: TF 5A_141/2020 del 25 febbraio 2021</w:t>
      </w:r>
    </w:p>
    <w:p>
      <w:pPr>
        <w:pStyle w:val="Heading2"/>
      </w:pPr>
      <w:r>
        <w:t>Erwägungen</w:t>
      </w:r>
    </w:p>
    <w:p>
      <w:r>
        <w:rPr>
          <w:b/>
        </w:rPr>
        <w:t>E. 1</w:t>
      </w:r>
    </w:p>
    <w:p>
      <w:r>
        <w:t>Le recours est dirigé contre une décision finale ( art. 90 LTF ; ATF 133 III 393 consid. 4), prise par un tribunal cantonal supérieur statuant sur recours ( art. 75 al. 1 et 2 LTF ), dans une affaire civile ( art. 72 al. 1 LTF ) de nature pécuniaire dont la valeur litigieuse requise est manifestement atteinte au regard de la valeur locative du logement litigieux, laquelle s'élèverait selon le recourant à 52'500 fr. par mois (art. 51 al. 1 let. a, 51 al. 4 et 74 al. 1 let. b LTF).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(ATF142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w:t>
      </w:r>
    </w:p>
    <w:p>
      <w:r>
        <w:t>Le recourant conteste que la villa de U.________ (GE) constitue encore, au jour de l'arrêt attaqué, le logement de la famille au sens de l' art. 169 CC . Il se prévaut d'une application arbitraire de cette disposition ainsi que d'un établissement arbitraire des faits.</w:t>
      </w:r>
    </w:p>
    <w:p>
      <w:r>
        <w:rPr>
          <w:b/>
        </w:rPr>
        <w:t>E. 3.1.1</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5A_971/2017 du 14 juin 2018 consid. 3.1; 5A_524/2017 du 9 octobre 2017 consid. 6.1).</w:t>
      </w:r>
    </w:p>
    <w:p>
      <w:r>
        <w:rPr>
          <w:b/>
        </w:rPr>
        <w:t>E. 3.1.2</w:t>
      </w:r>
    </w:p>
    <w:p>
      <w:r>
        <w:t>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 art. 169 CC , dont la</w:t>
      </w:r>
    </w:p>
    <w:p>
      <w:r>
        <w:t>ratio legis est d'éviter qu'en cas de tensions conjugales ou par légèreté, l'époux titulaire des droits dont dépend le logement ne dispose unilatéralement de celui-ci, lorsque cela cause des difficultés injustifiées à son conjoint ( ATF 114 II 396 consid. 5a).</w:t>
      </w:r>
    </w:p>
    <w:p>
      <w:r>
        <w:t>Dans certaines circonstances, le logement perd son caractère familial, et partant, la protection spécifique qui lui est conférée par l' art. 169 CC .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 ATF 136 III 257 consid. 2.1 et les références). Il appartient à l'époux qui allègue la perte du caractère familial du logement d'en apporter la preuve; pour admettre que le conjoint a quitté définitivement le logement familial, le juge doit pouvoir se fonder sur des indices sérieux ( ATF 136 III 257 consid. 2.2; cf. également sur le tout: arrêt 5A_635/2018 du 14 janvier 2019 consid. 6.1).</w:t>
      </w:r>
    </w:p>
    <w:p>
      <w:r>
        <w:rPr>
          <w:b/>
        </w:rPr>
        <w:t>E. 3.2</w:t>
      </w:r>
    </w:p>
    <w:p>
      <w:r>
        <w:t>En l'espèce, quand bien même le recourant avait conclu, dans son appel, à ce qu'il soit ordonné à l'intimée de libérer la villa de U.________ (GE) - dès lors que, selon lui, celle-ci ne constituait plus le logement de la famille -, il n'avait pas pour autant conclu à l'attribution de la villa en sa faveur.</w:t>
      </w:r>
    </w:p>
    <w:p>
      <w:r>
        <w:t>La cour cantonale a dans ce contexte tenu pour douteuse, au regard de l' art. 176 al. 1 ch. 2 CC , la recevabilité des conclusions prises par le recourant, ce dernier ne s'étant pas prévalu d'un intérêt propre à disposer du logement, mais uniquement de l'intérêt économique de ses filles, qu'il ne représentait pas dans la procédure (cf. arrêt attaqué, consid. 6.1 p. 11).</w:t>
      </w:r>
    </w:p>
    <w:p>
      <w:r>
        <w:t>Cela étant, compte tenu de ce qui suit, la recevabilité des conclusions prises par le recourant dans la procédure cantonale souffre de demeurer indécise.</w:t>
      </w:r>
    </w:p>
    <w:p>
      <w:r>
        <w:rPr>
          <w:b/>
        </w:rPr>
        <w:t>E. 3.3</w:t>
      </w:r>
    </w:p>
    <w:p>
      <w:r>
        <w:t>En substance, la Cour civile a estimé - en référence notamment à l'arrêt 5A_635/2018 du 14 janvier 2019 rendu dans le cadre de la procédure de divorce opposant les parties (cf. arrêt attaqué, consid. 6; cf. également ci-dessus, let. B.b) - que la villa de U.________ (GE) constituait encore, à la date de l'arrêt attaqué, le logement de la famille au sens de l' art. 169 CC . On comprend ainsi en particulier que, selon la Cour civile, le séjour aux Etats-Unis d'Amérique entre 2009 et 2013 ainsi que la location de la villa à des tiers durant cette période n'avaient pas eu pour effet de lui avoir fait perdre son caractère de logement familial, dès lors que le bail n'avait été conclu que pour une durée déterminée et qu'il n'était pas démontré que la famille avait envisagé son séjour américain comme un départ définitif, s'agissant, selon l'intimée, d'une solution temporaire afin de fuir les menaces proférées contre le recourant et sa famille dans le cadre des affaires de celui-ci (cf. à cet égard: arrêt 5A_635/2018 précité consid. 6.2.2.1). Il n'était pas plus déterminant que, depuis 2011, le recourant n'était plus personnellement propriétaire de la villa, mais qu'il la détenait par l'intermédiaire de sociétés dont il avait le contrôle.</w:t>
      </w:r>
    </w:p>
    <w:p>
      <w:r>
        <w:t>Du reste, étant donné que l'intimée y avait résidé à son retour en Suisse, qu'elle y vivait toujours en dépit de sa séparation d'avec le recourant et qu'elle n'avait aucune source de revenus, ni de réelle fortune, c'était à elle que ce logement devait être attribué, le recourant devant pour sa part prendre en charge, directement ou par l'intermédiaire de ses sociétés, l'intégralité des intérêts hypothécaires relatifs à la villa en sus de la contribution d'entretien fixée en faveur de l'intimée (cf. arrêt attaqué, consid. 6.5 p. 12).</w:t>
      </w:r>
    </w:p>
    <w:p>
      <w:r>
        <w:rPr>
          <w:b/>
        </w:rPr>
        <w:t>E. 3.4</w:t>
      </w:r>
    </w:p>
    <w:p>
      <w:r>
        <w:t>Le recourant reproche principalement à la cour cantonale de ne pas avoir pris en considération que, depuis le 31 juillet 2019, il n'était plus l'usufruitier des actions de la société F.________SA - elle-même détentrice de 90% des actions de E.________SA, société propriétaire de la villa - et que par conséquent il ne disposait de plus aucun droit sur cette demeure, lui faisant perdre son caractère de logement de la famille. A cet égard, il indique avoir exposé aux juges cantonaux qu'en vertu d'une promesse passée en 2011, il s'était engagé à renoncer à son usufruit dans les trois mois suivants la majorité de ses filles C.________ et D.________, lesquelles devaient dès lors acquérir les actions en pleine propriété. Or, ses filles étant devenues majeures le 10 juillet 2019, il avait effectivement renoncé à son usufruit le 31 juillet 2019.</w:t>
      </w:r>
    </w:p>
    <w:p>
      <w:r>
        <w:rPr>
          <w:b/>
        </w:rPr>
        <w:t>E. 3.4.1</w:t>
      </w:r>
    </w:p>
    <w:p>
      <w:r>
        <w:t>Contrairement à ce que prétend le recourant, la cour cantonale a tenu compte des éléments qui précèdent. Elle a toutefois estimé que, par les actes décrits, le recourant avait restreint les droits dont dépendait le logement de famille, sans en obtenir le consentement de l'intimée pourtant requis par l' art. 169 al. 1 CC . Or, cette absence de consentement était propre à entraîner la nullité absolue des actes juridiques en cause, sans qu'il fallût encore tenir compte de l'éventuelle bonne foi du cocontractant (cf. arrêt attaqué, consid. 6.2 p. 11 et les références citées, en particulier ATF 142 III 720 consid. 4.2.2 et 5.2.1).</w:t>
      </w:r>
    </w:p>
    <w:p>
      <w:r>
        <w:t>Alors qu'il y était pourtant tenu (cf. art. 106 al. 2 LTF ), le recourant ne développe aucune motivation tendant à démontrer l'arbitraire de ce raisonnement. En particulier, il ne prétend pas avoir obtenu le consentement de l'intimée, éventuellement par la voie judiciaire (cf. art. 169 al. 2 CC ), pour les différents actes en cause, en particulier s'agissant de son renoncement à l'usufruit sur les actions de F.________SA.</w:t>
      </w:r>
    </w:p>
    <w:p>
      <w:r>
        <w:rPr>
          <w:b/>
        </w:rPr>
        <w:t>E. 3.4.2</w:t>
      </w:r>
    </w:p>
    <w:p>
      <w:r>
        <w:t>Dans la mesure où le recourant explique également avoir démissionné du conseil d'administration de E.________SA, il ne démontre pas en quoi la perte de la qualité d'administrateur de cette société était effectivement propre à restreindre les droits sur le logement et partant à entraîner la perte du caractère familial.</w:t>
      </w:r>
    </w:p>
    <w:p>
      <w:r>
        <w:rPr>
          <w:b/>
        </w:rPr>
        <w:t>E. 3.4.3</w:t>
      </w:r>
    </w:p>
    <w:p>
      <w:r>
        <w:t>Enfin, en tant que le recourant prétend que F.________SA est une société régie par le droit du Grand-Duché du Luxembourg et que par conséquent le droit de cet État serait applicable, en vertu de l' art. 154 al. 1 LDIP , à la validité, d'une part, de la constitution de l'usufruit sur ses actions et, d'autre part, de la renonciation à cet usufruit, il n'y a rien d'évident à considérer, au regard des pièces produites au dossier cantonal, que la détentrice des actions de E.________SA est bien la société luxembourgeoise F.________SA et non celle homonyme de droit suisse, qui serait contrôlée par le recourant.</w:t>
      </w:r>
    </w:p>
    <w:p>
      <w:r>
        <w:t>Quoi qu'il en soit, outre que le recourant ne présente aucun développement tendant à déterminer le contenu du droit étranger, il n'apparaît nullement que l'application du droit suisse par la cour cantonale, et en particulier celle de l' art. 169 CC , consacrerait une application arbitraire de l' art. 48 LDIP , qui prévoit que les effets du mariage sont régis par le droit de l'État dans lequel les époux sont domiciliés (al. 1), respectivement, lorsque les époux ne sont pas domiciliés dans le même État, par le droit de l'État du domicile avec lequel la cause présente le lien le plus étroit (al. 2).</w:t>
      </w:r>
    </w:p>
    <w:p>
      <w:r>
        <w:rPr>
          <w:b/>
        </w:rPr>
        <w:t>E. 3.4.4</w:t>
      </w:r>
    </w:p>
    <w:p>
      <w:r>
        <w:t>Cela étant, il n'y a rien d'insoutenable à considérer, au stade des mesures protectrices de l'union conjugale, qu'à défaut de consentement apparemment exprimé par l'intimée, la renonciation par le recourant à l'usufruit sur les actions de F.________SA, et la restriction des droits sur la villa de U.________ (GE) qui en aurait découlé, n'avaient pas eu pour effet de faire perdre à l'immeuble son caractère de logement familial. On ne discerne pas à cet égard d'application arbitraire des art. 169 et 176 CC .</w:t>
      </w:r>
    </w:p>
    <w:p>
      <w:r>
        <w:rPr>
          <w:b/>
        </w:rPr>
        <w:t>E. 3.5</w:t>
      </w:r>
    </w:p>
    <w:p>
      <w:r>
        <w:t>Le recourant se prévaut également du récent départ de ses filles aux Etats-Unis d'Amérique pour y poursuivre leurs études.</w:t>
      </w:r>
    </w:p>
    <w:p>
      <w:r>
        <w:t>Alors que, selon la jurisprudence, la protection du logement de la famille vise les époux mariés, nonobstant la présence éventuelle d'enfants (cf. ATF 136 III 257 consid. 2.1 et les références citées), on ne voit pas qu'il est arbitraire de retenir, comme l'a fait la cour cantonale (cf. arrêt attaqué, consid. 6.3 p. 11), que le départ de C.________ et D.________ n'était pas déterminant au moment de juger si la villa était encore le logement de la famille au sens de l' art. 169 CC . En particulier, le recourant ne conteste plus que la villa était le centre de vie de la famille avant la séparation, ce qui est décisif en l'occurrence (cf. ATF 136 III précité consid. 2.1).</w:t>
      </w:r>
    </w:p>
    <w:p>
      <w:r>
        <w:t>Dans le même contexte, il n'est pas non plus déterminant que l'intimée aurait ponctuellement accueilli dans ce logement un nouveau compagnon ainsi que les enfants de ce dernier. Faute d'éléments concrets laissant supposer que l'intimée avait créé, à la villa de U.________ (GE) ou à un autre endroit, une nouvelle communauté de vie avec cette personne, la cour cantonale n'a pas commis de déni de justice formel proscrit par l' art. 29 al. 1 Cst. , ou apprécié arbitrairement les preuves de manière anticipée (cf. ATF 140 I 285 consid. 6.3.1; 138 III 374 consid. 4.3.2), en refusant de procéder à l'audition du prétendu nouveau compagnon de l'intimée ainsi qu'à celle de C.________ et D.________.</w:t>
      </w:r>
    </w:p>
    <w:p>
      <w:r>
        <w:rPr>
          <w:b/>
        </w:rPr>
        <w:t>E. 3.6</w:t>
      </w:r>
    </w:p>
    <w:p>
      <w:r>
        <w:t>Le recourant fait encore valoir qu'une créancière de E.________SA, en l'occurrence la Confédération suisse, avait sollicité la vente de la villa dans le cadre d'une procédure en réalisation du gage.</w:t>
      </w:r>
    </w:p>
    <w:p>
      <w:r>
        <w:t>A supposer que ce fait fût établi, le recourant n'explique pas encore dans quelle mesure la procédure d'exécution forcée en cours aurait eu pour effet de faire perdre à la villa de U.________ (GE) son statut de logement familial. Au surplus, en tant qu'il entend s'en prévaloir pour appuyer la thèse selon laquelle il n'est pas en mesure de prendre en charge les intérêts hypothécaires relatifs à l'immeuble, il ne prétend pas pour autant que, contrairement à ce que les juges cantonaux ont retenu, sa situation financière personnelle aurait changé au point qu'il ne disposerait plus des ressources permettant de maintenir le train de vie des parties tel qu'il était avant la séparation.</w:t>
      </w:r>
    </w:p>
    <w:p>
      <w:r>
        <w:rPr>
          <w:b/>
        </w:rPr>
        <w:t>E. 3.7</w:t>
      </w:r>
    </w:p>
    <w:p>
      <w:r>
        <w:t>En définitive, les critiques du recourant ne permettent pas d'établir que la cour cantonale a versé dans l'arbitraire en considérant, au stade des mesures protectrices de l'union conjugale, que l'intimée devait se voir attribuer la villa de Cologny, s'agissant du logement de la famille, dont le recourant, éventuellement par l'intermédiaire de ses sociétés, devait en assumer les charges au vu de sa situation financière favorable.</w:t>
      </w:r>
    </w:p>
    <w:p>
      <w:r>
        <w:rPr>
          <w:b/>
        </w:rPr>
        <w:t>E. 4</w:t>
      </w:r>
    </w:p>
    <w:p>
      <w:r>
        <w:t>Il s'ensuit que le recours doit être rejeté aux frais du recourant, qui succombe ( art. 66 al. 1 LTF ).</w:t>
      </w:r>
    </w:p>
    <w:p>
      <w:r>
        <w:t>L'intimée, qui a été invitée à se déterminer sur le recours et a conclu à son rejet, a droit à une indemnité de dépens, mise à la charge du recourant ( art. 68 al. 1 et 2 LTF ). La requête d'assistance judiciaire présentée par l'intimée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