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141/2019 vom 7. Juni 2019</w:t>
      </w:r>
    </w:p>
    <w:p>
      <w:r>
        <w:t>Bundesgericht, 2019-06-07, FR</w:t>
      </w:r>
    </w:p>
    <w:p>
      <w:r>
        <w:rPr>
          <w:b/>
        </w:rPr>
        <w:t xml:space="preserve">Quelle: </w:t>
      </w:r>
      <w:r>
        <w:t>https://mcp.opencaselaw.ch/entscheid/bger_5A_141_2019</w:t>
      </w:r>
    </w:p>
    <w:p>
      <w:r>
        <w:t>FR: TF 5A 141/2019 du 7 juin 2019</w:t>
      </w:r>
    </w:p>
    <w:p>
      <w:r>
        <w:t>IT: TF 5A 141/2019 del 7 giugno 2019</w:t>
      </w:r>
    </w:p>
    <w:p>
      <w:pPr>
        <w:pStyle w:val="Heading2"/>
      </w:pPr>
      <w:r>
        <w:t>Regeste</w:t>
      </w:r>
    </w:p>
    <w:p>
      <w:r>
        <w:t>partage successoral (recevabilité de pièces nouvelles, établissement des faits) | Droit des successions</w:t>
      </w:r>
    </w:p>
    <w:p>
      <w:pPr>
        <w:pStyle w:val="Heading2"/>
      </w:pPr>
      <w:r>
        <w:t>Erwägungen</w:t>
      </w:r>
    </w:p>
    <w:p>
      <w:r>
        <w:rPr>
          <w:b/>
        </w:rPr>
        <w:t>E. 1.1.1</w:t>
      </w:r>
    </w:p>
    <w:p>
      <w:r>
        <w:t>Le litige concernant le partage d'une succession est une contestation de nature civile ( art. 72 al. 1 LTF ), qui porte sur un droit de nature pécuniaire ( ATF 127 III 396 consid. 1b/cc; arrêt 5A_377/2016 du 9 janvier 2017 consid. 1). Dans une telle cause, le recours en matière civile n'est en principe recevable que si la valeur litigieuse s'élève au moins à 30'000 fr. ( art. 74 al. 1 let. b LTF ), selon les conclusions restées litigieuses devant l'autorité précédente ( art. 51 al. 1 let. a LTF ). En l'occurrence, la Cour de justice a considéré que la valeur litigieuse était inférieure à 30'000 fr. Les recourants affirment, quant à eux, que celle-ci s'élève à 45'278 fr. 85, respectivement 32'342 fr. 04.</w:t>
      </w:r>
    </w:p>
    <w:p>
      <w:r>
        <w:rPr>
          <w:b/>
        </w:rPr>
        <w:t>E. 1.1.2</w:t>
      </w:r>
    </w:p>
    <w:p>
      <w:r>
        <w:t>Selon la jurisprudence, la valeur litigieuse est égale à celle des biens à partager, lorsque le droit de demander le partage est litigieux comme tel. En revanche, si le litige ne concerne que la part d'un seul prétendant au partage, la valeur litigieuse est représentée par la part qu'il réclame dans le procès ( ATF 127 III 396 consid. 1b/cc et les références citées; arrêt 5A_803/2015 du 14 janvier 2016 consid. 3.2). En l'espèce, les recourants ne remettent pas en cause le principe du partage et, partant, ne prétendent pas qu'il faudrait prendre en considération la totalité des biens de la succession pour déterminer la valeur litigieuse. Il convient ainsi de tenir compte du montant correspondant à leurs prétentions dans la masse successorale selon les conclusions demeurées litigieuses devant la dernière instance cantonale, à savoir celles en lien, d'une part, avec le mobilier de la maison de X.________ dont ils allèguent la disparition et, d'autre part, avec la chevalière en or jaune attribuée à F.________. S'agissant de ce dernier bijou, la valeur de partage arrêtée à 7'666 fr. 65 par le premier juge n'est pas critiquée. Seule la valeur du mobilier disparu de la maison de X.________ est dès lors sujette à discussion.</w:t>
      </w:r>
    </w:p>
    <w:p>
      <w:r>
        <w:rPr>
          <w:b/>
        </w:rPr>
        <w:t>E. 1.1.3</w:t>
      </w:r>
    </w:p>
    <w:p>
      <w:r>
        <w:t>Si les conclusions ne tendent pas au paiement d'une somme d'argent déterminée, le Tribunal fédéral arrête la valeur litigieuse selon son appréciation ( art. 51 al. 2 LTF ). Le contrôle d'office ne supplée toutefois pas au défaut d'indication de la valeur litigieuse: il n'appartient en effet pas au Tribunal fédéral de procéder lui-même à des investigations pour déterminer la valeur litigieuse,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cependant lié ni par l'estimation de la partie recourante ou un accord des parties ni par une estimation manifestement erronée de l'autorité précédente ( ATF 136 III 60 consid. 1.1; arrêt 5A_839/2010 du 9 août 2011 consid. 1.1). Cela étant, il ne s'écartera en principe pas sans raison de la valeur litigieuse fixée par l'autorité précédente et admise par les parties (arrêt 8C_151/2010 du 31 août 2010 consid. 2.3 et les arrêts cités). En l'espèce, les recourants soutiennent que la valeur du mobilier disparu de la maison de X.________ s'élève à 33'510 Euros, soit à 37'612 fr. 20 au cours du 18 février 2019, selon une estimation faite le 15 avril 2015 par un commissaire-priseur de Paris. Ils se réfèrent à cet égard à une " pièce 6 Déf. ", soit, selon le dossier cantonal en mains du Tribunal de céans, une plainte pénale déposée en France le 16 novembre 2015 des chefs de vol, vol aggravé et recel par l'avocat O.________, au nom des successions de feu H.________ et I.________. Selon les recourants cette estimation de 33'510 Euros, " par nature extrêmement conservatoire ", n'a jamais été remise en cause par les intimés. La plainte pénale à laquelle renvoient les recourants fait en effet état d'une estimation, à concurrence du montant allégué de 33'510 Euros, des objets prétendument disparus de la maison de X.________, effectuée le 15 avril 2015 par Me P.________, commissaire-priseur à Paris, à la demande de Me O.________. Une copie de cette estimation a été produite par le conseil des recourants en annexe à un courrier du 14 juin 2016 adressé au Tribunal, mais a été écartée de la procédure par ce dernier pour cause de tardiveté (jugement de première instance, consid. E p. 12). Le prononcé d'irrecevabilité du premier juge concernant cette pièce, confirmé par la Cour de justice, n'est pas remis en cause dans le présent recours, seul celui portant sur le codicille du de cujus de 1983 (pièce 9) et sur le tableau comparatif (pièce 10) produits le 22 décembre 2017 étant encore contesté (cf. infra consid. 6). Ce nonobstant, les indications figurant dans la plainte pénale versée au dossier suffisent à la Cour de céans pour constater avec suffisamment de certitude que la valeur litigieuse exigée par l' art. 74 al. 1 let. b LTF est atteinte.</w:t>
      </w:r>
    </w:p>
    <w:p>
      <w:r>
        <w:rPr>
          <w:b/>
        </w:rPr>
        <w:t>E. 1.2</w:t>
      </w:r>
    </w:p>
    <w:p>
      <w:r>
        <w:t>Le recours a pour le surplus été déposé en temps utile ( art. 100 al. 1 LTF ) par des parties qui ont succombé devant l'autorité précédente ( art. 76 al. 1 LTF ) contre une décision finale ( art. 90 LTF ) rendue, par une juridiction ayant statué sur recours en dernière instance cantonale ( art. 75 al. 1 et 2 LTF ). Il y a donc lieu d'entrer en matière.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 supra consid. 2.1). Les critiques de nature appellatoire sont irrecevables ( ATF 140 III 264 consid. 2.3 et les références).</w:t>
      </w:r>
    </w:p>
    <w:p>
      <w:r>
        <w:rPr>
          <w:b/>
        </w:rPr>
        <w:t>E. 3</w:t>
      </w:r>
    </w:p>
    <w:p>
      <w:r>
        <w:t>Dans un grief de nature formelle qu'il convient d'examiner en premier lieu ( ATF 138 I 232 consid. 5.1), les recourants se plaignent de la violation de leur droit d'être entendus ( art. 29 al. 2 Cst. et 53 CPC), sous l'aspect du droit à une décision motivée. Ils soulèvent également dans ce contexte un grief de constatation manifestement inexacte des faits, lequel n'a toutefois pas de portée propre. Les recourants reprochent à la Cour de justice de ne pas avoir analysé la portée de la révocation (invalidation) de l'accord de 2014concernant l'attribution de la chevalière en or jaune à F.________. La Cour de justice avait retenu à tort et de manière arbitraire que l'argumentation relative à l'erreur de base et à l'invalidation de l'accord de 2014 aurait été soulevée pour la première fois dans le cadre de la réplique du 3 septembre 2018. En effet, la révocation (invalidation) de l'accord susmentionné était déjà clairement contenue au paragraphe 20 de leur mémoire d'appel, qui se lit comme suit: "... au vu des dernières déclarations des Intimés devant le juge de première instance, les Appelants s'opposent à ce que M. F.________ puisse conserver la chevalière familiale qui lui avait été remise sur la base de la liste à laquelle il dénie aujourd'hui toute valeur. Leur consentement à une telle remise, lors du processus de médiation était vicié puisque fondé sur la croyance - erronée - que leur frère acceptait de respecter les listes d'attribution de meubles établies par leur père. Il est ainsi révoqué en tant que de besoin dans un délai inférieur à un an, l'audience de plaidoiries ayant eu lieu en janvier 2018. " La cour cantonale aurait donc dû retenir qu'ils avaient révoqué l'accord de 2014 suite à une erreur de base et elle aurait dû se prononcer à ce sujet. Les éventuels arguments supplémentaires développés au stade de la réplique ne changeaient rien à ce propos.</w:t>
      </w:r>
    </w:p>
    <w:p>
      <w:r>
        <w:rPr>
          <w:b/>
        </w:rPr>
        <w:t>E. 3.1</w:t>
      </w:r>
    </w:p>
    <w:p>
      <w:r>
        <w:t>La Cour de justice a constaté que les recourants s'étaient contentés de formuler, dans leur appel, une critique générale et peu motivée à l'égard du jugement entrepris. Les allégués relatifs à l'existence d'une erreur de base [en lien avec l'accord de 2014 concernant la chevalière en or] formulés pour la première fois par les appelants dans leur réplique du 3 septembre 2018 ne sauraient conduire à une autre appréciation. Ces allégués s'avéraient irrecevables dans la mesure où les recourants auraient pu les invoquer dans le cadre de leur appel du 27 avril 2018 et qu'ils ne se bornaient pas à répondre aux objections soulevées par les intimés dans leur réponse du 3 juillet 2018. Partant, dès lors qu'il fallait retenir que la chevalière avait été attribuée à l'un des héritiers d'accord entre les parties, il n'y avait pas lieu de revenir sur cette attribution.</w:t>
      </w:r>
    </w:p>
    <w:p>
      <w:r>
        <w:rPr>
          <w:b/>
        </w:rPr>
        <w:t>E. 3.2</w:t>
      </w:r>
    </w:p>
    <w:p>
      <w:r>
        <w:t>La jurisprudence a déduit du droit d'être entendu de l' art. 29 al. 2 Cst. l'obligation pour l'autorité de motiver sa décision, afin que l'intéressé puisse se rendre compte de la portée de celle-ci et l'attaquer en connaissance de cause (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consid. 5.2; 142 II 154 consid. 4.2;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Le droit d'être entendu est une garantie constitutionnelle de caractère formel, dont la violation entraîne en principe l'annulation de la décision attaquée, indépendamment des chances de succès du recours sur le fond ( ATF 142 II 218 consid. 2.8.1 et les références). Le droit d'être entendu n'est toutefois pas une fin en soi. Ainsi, lorsqu'on ne voit pas quelle influence la violation de ce droit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 ATF 143 IV 380 consid. 1.4.1 et les arrêts cités; arrêt 5A_998/2018 du 25 février 2019 consid. 5.1 et les arrêts cités).</w:t>
      </w:r>
    </w:p>
    <w:p>
      <w:r>
        <w:rPr>
          <w:b/>
        </w:rPr>
        <w:t>E. 3.3</w:t>
      </w:r>
    </w:p>
    <w:p>
      <w:r>
        <w:t>S'il apparaît en effet qu'une déclaration d'invalidation pour cause d'erreur essentielle entachant l'accord de 2014 est bien contenue dans le mémoire d'appel, force est toutefois de constater que l'argumentation des recourants fondée sur l'existence d'une telle erreur dépend nécessairement de l'admissibilité des nova dont ils se sont prévalus tant en première instance qu'en appel. Dès lors que la décision de la Cour de justice sur ce dernier point résiste à la critique (cf. infra consid. 5 et 6), un renvoi de la cause pour nouvelle décision ne constituerait qu'une vaine formalité, ce qui scelle le sort du grief. Le bien-fondé du moyen apparaît, quoi qu'il en soit, sujet à caution. Quand bien même l'acte d'appel évoque un vice du consentement en lien avec l'accord de 2014, il apparaît douteux que l'arrêt querellé souffre pour autant d'un défaut de motivation au sens susrappelé. On en déduit en effet que la Cour de justice a considéré que ladite écriture était insuffisamment motivée et qu'une telle carence ne pouvait être réparée au stade de la réplique. Les recourants étaient ainsi en mesure de contester en connaissance de cause la décision des juges précédents. La question de savoir si la motivation retenue est pertinente relève du fond et non du droit d'être entendu. Le grief est privé de tout fondement.</w:t>
      </w:r>
    </w:p>
    <w:p>
      <w:r>
        <w:rPr>
          <w:b/>
        </w:rPr>
        <w:t>E. 4</w:t>
      </w:r>
    </w:p>
    <w:p>
      <w:r>
        <w:t>Les recourants soutiennent que la Cour de justice a constaté les faits de manière manifestement inexacte et qu'elle a arbitrairement apprécié les preuves.</w:t>
      </w:r>
    </w:p>
    <w:p>
      <w:r>
        <w:rPr>
          <w:b/>
        </w:rPr>
        <w:t>E. 4.1</w:t>
      </w:r>
    </w:p>
    <w:p>
      <w:r>
        <w:t>Ils reprochent aux juges précédents d'avoir omis de constater que les intimés, lors de l'audience d'ouverture des débats principaux et de premières plaidoiries du 2 juin 2016, s'étaient contentés de persister dans leurs conclusions, sans rejeter les conclusions de la réponse du 7 décembre 2015, notamment la conclusion 6 (" chacune des parties défenderesses recevra les meubles de X.________ et/ou les bijoux que leurs parents souhaitaient leur voir recevoir "), qui était une référence claire aux règles de partage contenues dans la pièce 9 (codicille du de cujus de 1983), connues et acceptées jusqu'alors par toutes les parties. Ce fait était susceptible d'avoir un impact majeur sur l'issue de la procédure. Ne s'étant pas opposés à cette conclusion, les intimés avaient en effet implicitement accepté celle-ci, ou à tout le moins accepté l'applicabilité des règles de partage contenues dans la pièce 9, indépendamment de sa production dans la cause. Ainsi, les meubles disparus de la maison de X.________ auraient dû être pris en considération dans la procédure de première instance, ce qui aurait dû amener la Cour de justice à annuler le considérant (recte: chiffre) 5 du [dispositif du] jugement de première instance.</w:t>
      </w:r>
    </w:p>
    <w:p>
      <w:r>
        <w:rPr>
          <w:b/>
        </w:rPr>
        <w:t>E. 4.2</w:t>
      </w:r>
    </w:p>
    <w:p>
      <w:r>
        <w:t>Dans la mesure où il n'apparaît pas que l'existence et le contenu du codicille de 1983 auraient été allégués dans les écritures de première instance, la rectification de l'état de fait sollicitée par les recourants ne pourrait avoir une incidence sur l'issue de la cause que si un sort favorable devait être donné au grief soulevé contre le prononcé d'irrecevabilité de cette pièce nouvelle. Or, tel n'est pas le cas (cf. infra consid. 6).</w:t>
      </w:r>
    </w:p>
    <w:p>
      <w:r>
        <w:rPr>
          <w:b/>
        </w:rPr>
        <w:t>E. 5</w:t>
      </w:r>
    </w:p>
    <w:p>
      <w:r>
        <w:t>Les recourants se plaignent d'une violation de l' art. 317 CPC en tant que la Cour de justice a déclaré irrecevables leurs pièces 13 à 23.</w:t>
      </w:r>
    </w:p>
    <w:p>
      <w:r>
        <w:rPr>
          <w:b/>
        </w:rPr>
        <w:t>E. 5.1</w:t>
      </w:r>
    </w:p>
    <w:p>
      <w:r>
        <w:t>Ils affirment que si ces pièces n'avaient pas été produites en première instance, c'est en raison du fait qu'ils étaient persuadés que les règles de partage contenues dans la pièce 9 (codicille du de cujus de 1983) étaient acceptées par les intimés. En raison toutefois du refus de ces derniers, évoqué uniquement au stade des plaidoiries finales de première instance, de reconnaître la recevabilité [de cette pièce] et une quelconque portée aux règles de répartition du mobilier garnissant la propriété de X.________ décidées par le de cujus en faveur de ses enfants, leur production avait été rendue nécessaire en appel. Les recourants rappellent que les intimés n'avaient pas contesté la conclusion de la réponse du 7 décembre 2015 tendant à ce que " chacune des parties défenderesses [reçoive] les meubles de X.________ et/ou les bijoux que leurs parents souhaitaient leur voir recevoir ", laquelle était une référence claire aux règles de partage contenues dans la pièce 9. Ils avaient attendu les plaidoiries finales de première instance pour dévoiler leur position concernant cette pièce. La jurisprudence admettait qu'un tel comportement justifiât la production de pièces nouvelles en appel, en l'occurrence pour prouver que les intimés avaient toujours accepté les règles de partage des meubles et bijoux décidées par leur père.</w:t>
      </w:r>
    </w:p>
    <w:p>
      <w:r>
        <w:rPr>
          <w:b/>
        </w:rPr>
        <w:t>E. 5.2</w:t>
      </w:r>
    </w:p>
    <w:p>
      <w:r>
        <w:t>A l'appui de son prononcé d'irrecevabilité, la Cour de justice a constaté que les recourants n'avaient pas indiqué dans leur appel les raisons pour lesquelles les pièces 13 à 23 n'auraient pas pu être produites en première instance. Les recourants ne remettent pas spécifiquement en cause ce constat, qui lie le Tribunal fédéral. Ils ne prétendent en particulier pas qu'ils auraient dûment démontré dans leur acte d'appel que les conditions de l' art. 317 al. 1 CPC étaient réalisées et qu'ils auraient exposé précisément les raisons pour lesquelles les pièces considérées n'avaient pas pu être produites en première instance (sur ces exigences, cf. arrêts 5A_739/2012 du 17 mai 2013 consid. 9.2.2 et 9.2.3; 5A_695/2012 du 20 mars 2013 consid. 4.2.1). Or, une telle carence ne saurait être réparée au stade du recours au Tribunal fédéral. Autant que recevable, le grief doit être rejeté.</w:t>
      </w:r>
    </w:p>
    <w:p>
      <w:r>
        <w:rPr>
          <w:b/>
        </w:rPr>
        <w:t>E. 6</w:t>
      </w:r>
    </w:p>
    <w:p>
      <w:r>
        <w:t>Les recourants font valoir une violation de l' art. 229 CPC , en tant que la Cour de justice a confirmé l'irrecevabilité des pièces 9 et 10 en raison de leur production tardive.</w:t>
      </w:r>
    </w:p>
    <w:p>
      <w:r>
        <w:rPr>
          <w:b/>
        </w:rPr>
        <w:t>E. 6.1</w:t>
      </w:r>
    </w:p>
    <w:p>
      <w:r>
        <w:t>En appel, les recourants invoquaient ne pas avoir produit ces pièces plus tôt car le codicille du de cujus de 1983 n'avait pas vocation à être divulgué et qu'aucun élément de la procédure ne permettait de penser que la répartition du mobilier aurait été contestée par les intimés. Les juges cantonaux ont objecté à cela que ces éléments litigieux étaient connus des recourants depuis le début de la procédure. Ils constituaient d'ailleurs une partie importante de leur argumentation et avaient été évoqués dès les premières écritures. En effet, déjà dans leur mémoire réponse du 7 décembre 2015, les recourants avaient conclu à l'attribution des meubles de la maison de X.________ et des bijoux selon les souhaits de leurs défunts parents. L'en-tête du codicille indiquait certes " inutile de remettre ces feuilles au notaire en cas d'accord entre les héritiers ". Toutefois, le dépôt d'une action par-devant des autorités judiciaires démontrait précisément l'absence d'accord sur ce point. Qui plus est, il ressortait de la procédure que d'importants différends concernant le partage de la succession opposaient les parties avant même l'introduction de l'action en partage par les intimés. Pour le surplus, et comme l'avait relevé à juste titre le premier juge, le testament amendé par ledit codicille n'avait pas été produit, si bien que l'on ignorait de quelle manière ces deux dispositions s'articulaient. Quant à la disparition du mobilier, qui a fait l'objet du dépôt d'une plainte pénale en novembre 2015, elle était antérieure à la date de dépôt du mémoire réponse en première instance du 7 décembre 2015, de sorte que les recourants auraient pu établir et produire un tableau comparatif entre les biens meubles attribués selon le codicille et ceux disparus à ce stade déjà. La Cour de justice en a conclu que la diligence requise commandait de produire le codicille du de cujus de 1983 ainsi que le tableau comparatif avant l'ouverture des débats principaux de première instance. C'était donc à bon droit que le Tribunal avait écarté ces pièces du dossier.</w:t>
      </w:r>
    </w:p>
    <w:p>
      <w:r>
        <w:rPr>
          <w:b/>
        </w:rPr>
        <w:t>E. 6.2</w:t>
      </w:r>
    </w:p>
    <w:p>
      <w:r>
        <w:t>Les recourants considèrent que la pièce 10 (tableau comparatif) constitue un vrai novum selon l' art. 229 al. 1 let. a CPC , dès lors qu'elle est postérieure à l'ouverture des débats principaux. Conformément à l'avis de Willisegger - selon lequel il suffisait que les nova soient allégués et les nouvelles preuves produites à la prochaine audience, qu'il s'agisse des premières plaidoiries, d'une audience d'administration de preuves ou des plaidoiries finales (Basler Kommentar, ZPO, 3ème éd. 2017, nos 43 [recte: 34 ss] et 53 ad art. 229 CPC ) -, elle avait en l'espèce été produite sans retard, soit avant l'audience de plaidoiries finales du 11 janvier 2018. Le fait que la disparition de certains meubles de la maison de X.________ avait déjà fait l'objet d'une plainte pénale en 2015 n'y changeait rien, contrairement à ce qu'avait retenu la Cour de justice. En effet, cette plainte ne dressait qu'un état approximatif des meubles disparus, sur la base de photographies. Ce descriptif, établi par leurs soins, contenu dans la plainte pénale n'avait en outre qu'une valeur probante limitée. En revanche, la pièce 10, préparée après l'obtention, en août 2017, de l'" état des lieux officiel dressé sur ordre de la Justice de paix ", était bien plus précise et n'aurait jamais pu être établie auparavant. Quant à la pièce 9, soit le codicille du de cujus de 1983, il s'agissait d'un pseudo-novum . Si cette pièce n'avait pas été produite plus tôt dans la procédure, c'était en raison du fait que les intimés avaient donné l'impression d'accepter les règles de partage qui y étaient contenues et qui étaient connues par toutes les parties depuis de nombreuses années. Sa production s'était toutefois révélée nécessaire " dans le cadre de l'établissement de la pièce 10", puisque c'était la comparaison de cette pièce 9 avec la liste officielle du mobilier de X.________, établie sur ordre de la Justice de paix et produite par les intimés en août 2017 [i.e. 17 août 2017, cf. supra let. A.e], qu'ils avaient pu établir la pièce 10, soit le document laissant apparaître quels meubles exactement avaient disparu de X.________. Ils avaient ainsi fait preuve de toute la diligence requise en produisant la pièce 9, puisqu'ils l'avaient produite "en support à la pièce 10", qui n'avait pu être préparée que suite au dépôt par les intimés de la liste officielle des meubles de X.________.</w:t>
      </w:r>
    </w:p>
    <w:p>
      <w:r>
        <w:rPr>
          <w:b/>
        </w:rPr>
        <w:t>E. 6.3</w:t>
      </w:r>
    </w:p>
    <w:p>
      <w:r>
        <w:t>Selon l' art. 229 al. 1 CPC , les faits et moyens de preuve nouveaux ne sont admis aux débats principaux que s'ils sont invoqués sans retard et qu'ils remplissent l'une des conditions suivantes: ils sont postérieurs à l'échange d'écritures ou à la dernière audience d'instruction ou ont été découverts postérieurement ( nova proprement dits; let. a); ils existaient avant la clôture de l'échange d'écritures ou la dernière audience d'instruction mais ne pouvaient être invoqués antérieurement bien que la partie qui s'en prévaut ait fait preuve de la diligence requise ( nova improprement dits; let. b). La loi ne fixe pas de délai dans lequel les nova doivent être invoqués pour que l'on puisse admettre qu'ils l'ont été " sans retard ". La doctrine et la jurisprudence cantonale retiennent majoritairement que la réaction doit être rapide, l'introduction des nova devant intervenir au plus tard dans les cinq jours (SUTTER-SOMM/LÖTSCHER/SCHENK/SENN, Tafeln zum Schweizerischen Zivilprozessrecht, 2ème éd. 2017, Tafel 10d, p. 49), sept jours (SUTTER-SOMM, Schweizerisches Zivilprozessrecht, 3ème éd. 2017, n° 1104 p. 295), respectivement dix jours dès leur découverte (LEUENBERGER, in Kommentar zur Schweizerischen Zivilprozessordnung, 3ème éd. 2016, n° 9a ad art. 229 CPC ; PAHUD, in DIKE Kommentar, ZPO, 2ème éd. 2016, n° 16 ad art. 229 CPC ; TREZZINI, in Commentario pratico al Codice di diritto processuale civile svizzero, vol. 2, 2ème éd. 2017, n° 23 ad art. 229 CPC ; LEUENBERGER/UFFER-TOBLER, Schweizerisches Zivilprozessrecht, 2ème éd. 2016, n° 11.110 p. 364; D AETWYLER/STALDER, in Handelsgericht Zürich 1866-2016, Zuständigkeit, Verfahren und Entwicklungen, Festschrift zum 150. Jubiläum, 2016, p. 211; Appellationsgericht du canton de Bâle-Ville, 21.11.2018, ZB.2018.24, consid. 5.3.2 et les autres références; Kantonsgericht de St-Gall, 16.11.2017, BO.2017.4, consid. 3b et les autres références; Handelsgericht du canton de Zurich, 13.05.2013, in ZR 2013 n° 35 p. 140, consid. III.3; Tribunal cantonal du canton de Vaud, 1.10.2018, HC/2018/904, consid. 3.2 et 3.3). Sans se prononcer sur les délais proposés par la doctrine, le Tribunal fédéral a, dans un arrêt du 31 août 2017, estimé que, dans une affaire complexe, alléguer des nova une trentaine de jours après la réception de la duplique ne les rendait pas encore irrecevables faute d'avoir été invoqués sans retard (arrêt 4A_61/2017 consid. 6.2.2). Dans un arrêt antérieur, il a évoqué un délai de 10 jours, voire de deux semaines, en lien avec l'introduction de nova en appel selon l' art. 317 al. 1 let. a CPC , lequel pose la même condition (arrêt 4A_707/2016 du 29 mai 2017 consid. 3.3.2, publié in RSPC 2017 p. 438). Point n'est besoin en l'espèce d'examiner plus avant la question. Dès lors toutefois que cette condition de l'invocation sans retard tend à assurer la célérité de la procédure (cf. arrêt 5A_790/2016 du 9 août 2018 consid. 3.4 [concernant l' art. 317 CPC ]; KILLIAS, in Berner Kommentar, ZPO, n° 17 ad art. 229 CPC ), il est en tous les cas exclu de laisser s'écouler plus de quelques semaines (TAPPY, in Commentaire romand, Code de procédure civile, 2ème éd. 2019, n° 9 ad art. 229 CPC ).</w:t>
      </w:r>
    </w:p>
    <w:p>
      <w:r>
        <w:rPr>
          <w:b/>
        </w:rPr>
        <w:t>E. 6.4</w:t>
      </w:r>
    </w:p>
    <w:p>
      <w:r>
        <w:t>Aux termes du courrier de leur conseil du 22 décembre 2017, les recourants ont indiqué produire les pièces nouvelles litigieuses " suite à l'inventaire et à l'estimation du mobilier de la maison de X.________ " ordonnés par la Justice de paix et transmis au Tribunal par le conseil des demandeurs. Or, ils admettent que ce document a été versé à la procédure en août 2017. Il apparaît en outre que l'avocat des intimés a réservé au conseil des recourants une copie de son courrier de transmission au Tribunal du 17 août 2017. Ce nonobstant, les recourants n'ont introduit leurs nova qu'en date du 22 décembre 2017, soit plus de quatre mois après qu'ils ont eu connaissance des faits motivant leur requête de nova . Un tel atermoiement ne respecte à l'évidence pas la condition (générale) de l'invocation sans retard de l' art. 229 al. 1 CPC . Certes, les recourants citent l'avis de Willisegger, qui considère qu'il suffirait d'agir à la prochaine " occasion procédurale " ( nächste prozessuale Gelegenheit ) à laquelle les parties peuvent s'exprimer et mentionne notamment à cet égard l'audience de plaidoiries finales. Ils n'exposent toutefois pas en quoi cet avis isolé devrait être préféré à celui de la doctrine majoritaire. Quoi qu'il en soit, l'audience de plaidoiries finales ayant été fixée en janvier 2018, il n'était pas possible d'attendre celle-ci compte tenu du moment où les recourants ont eu connaissance des éléments justifiant, selon eux, l'introduction de nova (cf. TAPPY, loc. cit.). Il s'ensuit que les nova présentés le 22 décembre 2017 étaient déjà irrecevables pour ne pas avoir été introduits " sans retard ". Il n'y a dès lors pas lieu d'examiner plus avant le bien-fondé de la motivation de la cour cantonale. Le moyen doit être rejeté.</w:t>
      </w:r>
    </w:p>
    <w:p>
      <w:r>
        <w:rPr>
          <w:b/>
        </w:rPr>
        <w:t>E. 7</w:t>
      </w:r>
    </w:p>
    <w:p>
      <w:r>
        <w:t>En définitive, le recours est rejeté dans la mesure de sa recevabilité. Succombant, les recourants doivent supporter solidairement les frais judiciaires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